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F601" w14:textId="78DB5E25" w:rsidR="00AF3C68" w:rsidRDefault="00AF3C68" w:rsidP="00E56869">
      <w:pPr>
        <w:autoSpaceDE w:val="0"/>
        <w:autoSpaceDN w:val="0"/>
        <w:adjustRightInd w:val="0"/>
        <w:spacing w:after="0" w:line="240" w:lineRule="auto"/>
        <w:jc w:val="both"/>
        <w:rPr>
          <w:rFonts w:cs="Arial"/>
          <w:b/>
          <w:noProof/>
          <w:sz w:val="48"/>
          <w:szCs w:val="52"/>
        </w:rPr>
      </w:pPr>
    </w:p>
    <w:p w14:paraId="573E5CE3" w14:textId="5D73EABD" w:rsidR="009F3E56" w:rsidRDefault="009F3E56" w:rsidP="00AF3C68">
      <w:pPr>
        <w:autoSpaceDE w:val="0"/>
        <w:autoSpaceDN w:val="0"/>
        <w:adjustRightInd w:val="0"/>
        <w:spacing w:after="0" w:line="240" w:lineRule="auto"/>
        <w:ind w:left="-1701"/>
        <w:jc w:val="both"/>
        <w:rPr>
          <w:rFonts w:ascii="Arial" w:hAnsi="Arial" w:cs="Arial"/>
          <w:b/>
          <w:sz w:val="20"/>
        </w:rPr>
      </w:pPr>
    </w:p>
    <w:p w14:paraId="224979A9" w14:textId="46F0CF7C" w:rsidR="009F3E56" w:rsidRDefault="009F3E56" w:rsidP="009F3E56">
      <w:pPr>
        <w:spacing w:after="0" w:line="240" w:lineRule="auto"/>
        <w:jc w:val="center"/>
        <w:rPr>
          <w:rFonts w:cs="Arial"/>
          <w:b/>
          <w:sz w:val="48"/>
          <w:szCs w:val="52"/>
        </w:rPr>
      </w:pPr>
    </w:p>
    <w:p w14:paraId="7085DC0A" w14:textId="7C374819" w:rsidR="009F3E56" w:rsidRDefault="009F3E56" w:rsidP="00FB6265">
      <w:pPr>
        <w:spacing w:after="0" w:line="240" w:lineRule="auto"/>
        <w:rPr>
          <w:rFonts w:cs="Arial"/>
          <w:b/>
          <w:sz w:val="48"/>
          <w:szCs w:val="52"/>
        </w:rPr>
      </w:pPr>
    </w:p>
    <w:p w14:paraId="09388509" w14:textId="282C391C" w:rsidR="009F3E56" w:rsidRPr="00AF3C68" w:rsidRDefault="009F3E56" w:rsidP="00FB6265">
      <w:pPr>
        <w:spacing w:after="0" w:line="240" w:lineRule="auto"/>
        <w:rPr>
          <w:rFonts w:cs="Arial"/>
          <w:b/>
          <w:sz w:val="72"/>
          <w:szCs w:val="72"/>
        </w:rPr>
      </w:pPr>
    </w:p>
    <w:p w14:paraId="79F16017" w14:textId="77777777" w:rsidR="00AF701C" w:rsidRDefault="00AF701C" w:rsidP="00AF3C68">
      <w:pPr>
        <w:spacing w:after="0" w:line="240" w:lineRule="auto"/>
        <w:jc w:val="center"/>
        <w:rPr>
          <w:rFonts w:ascii="Rockwell Extra Bold" w:hAnsi="Rockwell Extra Bold" w:cs="Arial"/>
          <w:b/>
          <w:color w:val="1F3864" w:themeColor="accent1" w:themeShade="80"/>
          <w:sz w:val="72"/>
          <w:szCs w:val="72"/>
        </w:rPr>
      </w:pPr>
    </w:p>
    <w:p w14:paraId="7066CC8F" w14:textId="77777777" w:rsidR="00AF701C" w:rsidRDefault="00AF701C" w:rsidP="00AF3C68">
      <w:pPr>
        <w:spacing w:after="0" w:line="240" w:lineRule="auto"/>
        <w:jc w:val="center"/>
        <w:rPr>
          <w:rFonts w:ascii="Rockwell Extra Bold" w:hAnsi="Rockwell Extra Bold" w:cs="Arial"/>
          <w:b/>
          <w:color w:val="1F3864" w:themeColor="accent1" w:themeShade="80"/>
          <w:sz w:val="72"/>
          <w:szCs w:val="72"/>
        </w:rPr>
      </w:pPr>
    </w:p>
    <w:p w14:paraId="1DA9CA87" w14:textId="3C003E67" w:rsidR="00FB6265" w:rsidRPr="00D734CF" w:rsidRDefault="00AF3C68" w:rsidP="00AF3C68">
      <w:pPr>
        <w:spacing w:after="0" w:line="240" w:lineRule="auto"/>
        <w:jc w:val="center"/>
        <w:rPr>
          <w:rFonts w:ascii="Rockwell Extra Bold" w:hAnsi="Rockwell Extra Bold" w:cs="Arial"/>
          <w:b/>
          <w:color w:val="1F3864" w:themeColor="accent1" w:themeShade="80"/>
          <w:sz w:val="72"/>
          <w:szCs w:val="72"/>
        </w:rPr>
      </w:pPr>
      <w:r w:rsidRPr="00D734CF">
        <w:rPr>
          <w:rFonts w:ascii="Rockwell Extra Bold" w:hAnsi="Rockwell Extra Bold" w:cs="Arial"/>
          <w:b/>
          <w:color w:val="1F3864" w:themeColor="accent1" w:themeShade="80"/>
          <w:sz w:val="72"/>
          <w:szCs w:val="72"/>
        </w:rPr>
        <w:t>POLÍTICA ANUAL DE</w:t>
      </w:r>
    </w:p>
    <w:p w14:paraId="76BEDD87" w14:textId="5BFD538D" w:rsidR="00246D19" w:rsidRPr="00D734CF" w:rsidRDefault="00AF3C68" w:rsidP="00AF3C68">
      <w:pPr>
        <w:spacing w:after="0" w:line="240" w:lineRule="auto"/>
        <w:jc w:val="center"/>
        <w:rPr>
          <w:rFonts w:ascii="Rockwell Extra Bold" w:hAnsi="Rockwell Extra Bold" w:cs="Arial"/>
          <w:b/>
          <w:color w:val="1F3864" w:themeColor="accent1" w:themeShade="80"/>
          <w:sz w:val="72"/>
          <w:szCs w:val="72"/>
        </w:rPr>
      </w:pPr>
      <w:r w:rsidRPr="00D734CF">
        <w:rPr>
          <w:rFonts w:ascii="Rockwell Extra Bold" w:hAnsi="Rockwell Extra Bold" w:cs="Arial"/>
          <w:b/>
          <w:color w:val="1F3864" w:themeColor="accent1" w:themeShade="80"/>
          <w:sz w:val="72"/>
          <w:szCs w:val="72"/>
        </w:rPr>
        <w:softHyphen/>
        <w:t xml:space="preserve">  INVESTIMENTO  </w:t>
      </w:r>
      <w:r w:rsidR="00C36940" w:rsidRPr="00D734CF">
        <w:rPr>
          <w:rFonts w:ascii="Rockwell Extra Bold" w:hAnsi="Rockwell Extra Bold" w:cs="Arial"/>
          <w:b/>
          <w:color w:val="1F3864" w:themeColor="accent1" w:themeShade="80"/>
          <w:sz w:val="72"/>
          <w:szCs w:val="72"/>
        </w:rPr>
        <w:t>2024</w:t>
      </w:r>
    </w:p>
    <w:p w14:paraId="6B5DB988" w14:textId="510F3788" w:rsidR="008F08BD" w:rsidRDefault="008F08BD" w:rsidP="00246D19">
      <w:pPr>
        <w:spacing w:after="0" w:line="240" w:lineRule="auto"/>
        <w:jc w:val="center"/>
        <w:rPr>
          <w:rFonts w:cs="Arial"/>
          <w:b/>
          <w:sz w:val="48"/>
          <w:szCs w:val="52"/>
        </w:rPr>
      </w:pPr>
    </w:p>
    <w:p w14:paraId="6B770156" w14:textId="448C4995" w:rsidR="00FB6265" w:rsidRDefault="00AF3C68" w:rsidP="00C95F0F">
      <w:pPr>
        <w:tabs>
          <w:tab w:val="left" w:pos="2460"/>
        </w:tabs>
        <w:spacing w:after="0" w:line="240" w:lineRule="auto"/>
        <w:rPr>
          <w:rFonts w:cs="Arial"/>
          <w:b/>
          <w:sz w:val="48"/>
          <w:szCs w:val="52"/>
        </w:rPr>
      </w:pPr>
      <w:r>
        <w:rPr>
          <w:rFonts w:cs="Arial"/>
          <w:b/>
          <w:sz w:val="48"/>
          <w:szCs w:val="52"/>
        </w:rPr>
        <w:tab/>
      </w:r>
      <w:sdt>
        <w:sdtPr>
          <w:rPr>
            <w:rFonts w:cs="Arial"/>
            <w:b/>
            <w:sz w:val="48"/>
            <w:szCs w:val="52"/>
          </w:rPr>
          <w:id w:val="-1445063693"/>
          <w:docPartObj>
            <w:docPartGallery w:val="Watermarks"/>
          </w:docPartObj>
        </w:sdtPr>
        <w:sdtEndPr/>
        <w:sdtContent>
          <w:r w:rsidR="00C52D2C" w:rsidRPr="00C52D2C">
            <w:rPr>
              <w:rFonts w:cs="Arial"/>
              <w:b/>
              <w:noProof/>
              <w:sz w:val="36"/>
              <w:szCs w:val="36"/>
            </w:rPr>
            <w:drawing>
              <wp:anchor distT="0" distB="0" distL="114300" distR="114300" simplePos="0" relativeHeight="251658240" behindDoc="1" locked="0" layoutInCell="0" allowOverlap="1" wp14:anchorId="418A0811" wp14:editId="6D0909E3">
                <wp:simplePos x="0" y="0"/>
                <wp:positionH relativeFrom="margin">
                  <wp:posOffset>-1543050</wp:posOffset>
                </wp:positionH>
                <wp:positionV relativeFrom="margin">
                  <wp:posOffset>-1151890</wp:posOffset>
                </wp:positionV>
                <wp:extent cx="9615805" cy="11353800"/>
                <wp:effectExtent l="0" t="0" r="4445" b="0"/>
                <wp:wrapNone/>
                <wp:docPr id="208240837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74310345"/>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9615805" cy="1135380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45C32E67" w14:textId="77777777" w:rsidR="00FB6265" w:rsidRDefault="00FB6265" w:rsidP="00246D19">
      <w:pPr>
        <w:spacing w:after="0" w:line="240" w:lineRule="auto"/>
        <w:jc w:val="center"/>
        <w:rPr>
          <w:rFonts w:cs="Arial"/>
          <w:b/>
          <w:sz w:val="48"/>
          <w:szCs w:val="52"/>
        </w:rPr>
      </w:pPr>
    </w:p>
    <w:p w14:paraId="4E3CD379" w14:textId="77777777" w:rsidR="00634629" w:rsidRDefault="00634629" w:rsidP="008F08BD">
      <w:pPr>
        <w:ind w:left="291"/>
        <w:jc w:val="center"/>
        <w:rPr>
          <w:rFonts w:cs="Arial"/>
          <w:b/>
          <w:sz w:val="48"/>
          <w:szCs w:val="52"/>
        </w:rPr>
      </w:pPr>
    </w:p>
    <w:p w14:paraId="64F5420C" w14:textId="23DF28E4" w:rsidR="008F08BD" w:rsidRPr="005042C1" w:rsidRDefault="00C56750" w:rsidP="00634629">
      <w:pPr>
        <w:ind w:left="291"/>
        <w:jc w:val="center"/>
        <w:rPr>
          <w:rFonts w:asciiTheme="minorHAnsi" w:hAnsiTheme="minorHAnsi" w:cstheme="minorHAnsi"/>
          <w:b/>
          <w:bCs/>
          <w:sz w:val="32"/>
          <w:szCs w:val="32"/>
        </w:rPr>
      </w:pPr>
      <w:r w:rsidRPr="005042C1">
        <w:rPr>
          <w:rFonts w:asciiTheme="minorHAnsi" w:hAnsiTheme="minorHAnsi" w:cstheme="minorHAnsi"/>
          <w:b/>
          <w:bCs/>
          <w:sz w:val="32"/>
          <w:szCs w:val="32"/>
        </w:rPr>
        <w:t xml:space="preserve">INSTITUTO DE PREVIDÊNCIA </w:t>
      </w:r>
      <w:r w:rsidR="005042C1" w:rsidRPr="005042C1">
        <w:rPr>
          <w:rFonts w:asciiTheme="minorHAnsi" w:hAnsiTheme="minorHAnsi" w:cstheme="minorHAnsi"/>
          <w:b/>
          <w:bCs/>
          <w:sz w:val="32"/>
          <w:szCs w:val="32"/>
        </w:rPr>
        <w:t>SOCIAL DOS SERVIDORES PÚBLICOS MUNICIPAIS DE GOVERNADOR JORGE TEIXEIRA</w:t>
      </w:r>
    </w:p>
    <w:p w14:paraId="4330701F" w14:textId="10D23B0B" w:rsidR="005042C1" w:rsidRPr="005042C1" w:rsidRDefault="005042C1" w:rsidP="00634629">
      <w:pPr>
        <w:ind w:left="291"/>
        <w:jc w:val="center"/>
        <w:rPr>
          <w:rFonts w:asciiTheme="minorHAnsi" w:hAnsiTheme="minorHAnsi" w:cstheme="minorHAnsi"/>
          <w:b/>
          <w:bCs/>
          <w:sz w:val="32"/>
          <w:szCs w:val="32"/>
        </w:rPr>
      </w:pPr>
      <w:r w:rsidRPr="005042C1">
        <w:rPr>
          <w:rFonts w:asciiTheme="minorHAnsi" w:hAnsiTheme="minorHAnsi" w:cstheme="minorHAnsi"/>
          <w:b/>
          <w:bCs/>
          <w:sz w:val="32"/>
          <w:szCs w:val="32"/>
        </w:rPr>
        <w:t>GJTPREVI</w:t>
      </w:r>
    </w:p>
    <w:p w14:paraId="6C2FD6A2" w14:textId="0249EEB1" w:rsidR="005042C1" w:rsidRDefault="005042C1" w:rsidP="00634629">
      <w:pPr>
        <w:ind w:left="291"/>
        <w:jc w:val="center"/>
        <w:rPr>
          <w:rFonts w:asciiTheme="minorHAnsi" w:hAnsiTheme="minorHAnsi" w:cstheme="minorHAnsi"/>
          <w:b/>
          <w:bCs/>
          <w:color w:val="1F3864" w:themeColor="accent1" w:themeShade="80"/>
          <w:sz w:val="32"/>
          <w:szCs w:val="32"/>
          <w:highlight w:val="green"/>
        </w:rPr>
      </w:pPr>
    </w:p>
    <w:p w14:paraId="6956B279" w14:textId="77777777" w:rsidR="005042C1" w:rsidRPr="00D734CF" w:rsidRDefault="005042C1" w:rsidP="00634629">
      <w:pPr>
        <w:ind w:left="291"/>
        <w:jc w:val="center"/>
        <w:rPr>
          <w:rFonts w:asciiTheme="minorHAnsi" w:hAnsiTheme="minorHAnsi" w:cstheme="minorHAnsi"/>
          <w:b/>
          <w:bCs/>
          <w:color w:val="1F3864" w:themeColor="accent1" w:themeShade="80"/>
          <w:sz w:val="32"/>
          <w:szCs w:val="32"/>
          <w:highlight w:val="green"/>
        </w:rPr>
      </w:pPr>
    </w:p>
    <w:p w14:paraId="575A1ABF" w14:textId="68F8205B" w:rsidR="004D3E8E" w:rsidRPr="00A357C9" w:rsidRDefault="004D3E8E" w:rsidP="00394693">
      <w:pPr>
        <w:spacing w:after="0" w:line="240" w:lineRule="auto"/>
        <w:rPr>
          <w:rFonts w:cs="Arial"/>
          <w:b/>
          <w:sz w:val="24"/>
          <w:szCs w:val="24"/>
        </w:rPr>
      </w:pPr>
    </w:p>
    <w:sdt>
      <w:sdtPr>
        <w:rPr>
          <w:sz w:val="20"/>
          <w:szCs w:val="20"/>
        </w:rPr>
        <w:id w:val="-1516306981"/>
        <w:docPartObj>
          <w:docPartGallery w:val="Table of Contents"/>
          <w:docPartUnique/>
        </w:docPartObj>
      </w:sdtPr>
      <w:sdtEndPr>
        <w:rPr>
          <w:b/>
          <w:bCs/>
          <w:sz w:val="22"/>
          <w:szCs w:val="22"/>
        </w:rPr>
      </w:sdtEndPr>
      <w:sdtContent>
        <w:p w14:paraId="7B6E8D7C" w14:textId="79016592" w:rsidR="00246D19" w:rsidRPr="00394693" w:rsidRDefault="00246D19" w:rsidP="00394693">
          <w:pPr>
            <w:spacing w:after="0" w:line="240" w:lineRule="auto"/>
            <w:jc w:val="center"/>
            <w:rPr>
              <w:rFonts w:cs="Arial"/>
              <w:b/>
              <w:sz w:val="48"/>
              <w:szCs w:val="52"/>
            </w:rPr>
          </w:pPr>
          <w:r w:rsidRPr="00951A07">
            <w:rPr>
              <w:b/>
              <w:bCs/>
              <w:sz w:val="20"/>
              <w:szCs w:val="20"/>
            </w:rPr>
            <w:t>Sumário</w:t>
          </w:r>
        </w:p>
        <w:p w14:paraId="43BDE84C" w14:textId="4531CC14" w:rsidR="008C0AE8" w:rsidRDefault="00246D19">
          <w:pPr>
            <w:pStyle w:val="Sumrio1"/>
            <w:rPr>
              <w:rFonts w:asciiTheme="minorHAnsi" w:eastAsiaTheme="minorEastAsia" w:hAnsiTheme="minorHAnsi" w:cstheme="minorBidi"/>
              <w:noProof/>
              <w:lang w:eastAsia="pt-BR"/>
            </w:rPr>
          </w:pPr>
          <w:r w:rsidRPr="00951A07">
            <w:rPr>
              <w:sz w:val="20"/>
              <w:szCs w:val="20"/>
            </w:rPr>
            <w:fldChar w:fldCharType="begin"/>
          </w:r>
          <w:r w:rsidRPr="00951A07">
            <w:rPr>
              <w:sz w:val="20"/>
              <w:szCs w:val="20"/>
            </w:rPr>
            <w:instrText xml:space="preserve"> TOC \o "1-3" \h \z \u </w:instrText>
          </w:r>
          <w:r w:rsidRPr="00951A07">
            <w:rPr>
              <w:sz w:val="20"/>
              <w:szCs w:val="20"/>
            </w:rPr>
            <w:fldChar w:fldCharType="separate"/>
          </w:r>
          <w:hyperlink w:anchor="_Toc93910743" w:history="1">
            <w:r w:rsidR="008C0AE8" w:rsidRPr="00603E9B">
              <w:rPr>
                <w:rStyle w:val="Hyperlink"/>
                <w:rFonts w:cs="Calibri"/>
                <w:bCs/>
                <w:noProof/>
                <w:lang w:eastAsia="pt-BR"/>
              </w:rPr>
              <w:t>1.</w:t>
            </w:r>
            <w:r w:rsidR="008C0AE8">
              <w:rPr>
                <w:rFonts w:asciiTheme="minorHAnsi" w:eastAsiaTheme="minorEastAsia" w:hAnsiTheme="minorHAnsi" w:cstheme="minorBidi"/>
                <w:noProof/>
                <w:lang w:eastAsia="pt-BR"/>
              </w:rPr>
              <w:tab/>
            </w:r>
            <w:r w:rsidR="008C0AE8" w:rsidRPr="00603E9B">
              <w:rPr>
                <w:rStyle w:val="Hyperlink"/>
                <w:rFonts w:cs="Calibri"/>
                <w:noProof/>
                <w:lang w:eastAsia="pt-BR"/>
              </w:rPr>
              <w:t>Introdução</w:t>
            </w:r>
            <w:r w:rsidR="008C0AE8">
              <w:rPr>
                <w:noProof/>
                <w:webHidden/>
              </w:rPr>
              <w:tab/>
            </w:r>
            <w:r w:rsidR="008C0AE8">
              <w:rPr>
                <w:noProof/>
                <w:webHidden/>
              </w:rPr>
              <w:fldChar w:fldCharType="begin"/>
            </w:r>
            <w:r w:rsidR="008C0AE8">
              <w:rPr>
                <w:noProof/>
                <w:webHidden/>
              </w:rPr>
              <w:instrText xml:space="preserve"> PAGEREF _Toc93910743 \h </w:instrText>
            </w:r>
            <w:r w:rsidR="008C0AE8">
              <w:rPr>
                <w:noProof/>
                <w:webHidden/>
              </w:rPr>
            </w:r>
            <w:r w:rsidR="008C0AE8">
              <w:rPr>
                <w:noProof/>
                <w:webHidden/>
              </w:rPr>
              <w:fldChar w:fldCharType="separate"/>
            </w:r>
            <w:r w:rsidR="007E45D9">
              <w:rPr>
                <w:noProof/>
                <w:webHidden/>
              </w:rPr>
              <w:t>3</w:t>
            </w:r>
            <w:r w:rsidR="008C0AE8">
              <w:rPr>
                <w:noProof/>
                <w:webHidden/>
              </w:rPr>
              <w:fldChar w:fldCharType="end"/>
            </w:r>
          </w:hyperlink>
        </w:p>
        <w:p w14:paraId="678578DC" w14:textId="104BA6D4" w:rsidR="008C0AE8" w:rsidRDefault="00646678">
          <w:pPr>
            <w:pStyle w:val="Sumrio1"/>
            <w:rPr>
              <w:rFonts w:asciiTheme="minorHAnsi" w:eastAsiaTheme="minorEastAsia" w:hAnsiTheme="minorHAnsi" w:cstheme="minorBidi"/>
              <w:noProof/>
              <w:lang w:eastAsia="pt-BR"/>
            </w:rPr>
          </w:pPr>
          <w:hyperlink w:anchor="_Toc93910744" w:history="1">
            <w:r w:rsidR="008C0AE8" w:rsidRPr="00603E9B">
              <w:rPr>
                <w:rStyle w:val="Hyperlink"/>
                <w:rFonts w:cs="Calibri"/>
                <w:bCs/>
                <w:noProof/>
                <w:lang w:eastAsia="pt-BR"/>
              </w:rPr>
              <w:t>2.</w:t>
            </w:r>
            <w:r w:rsidR="008C0AE8">
              <w:rPr>
                <w:rFonts w:asciiTheme="minorHAnsi" w:eastAsiaTheme="minorEastAsia" w:hAnsiTheme="minorHAnsi" w:cstheme="minorBidi"/>
                <w:noProof/>
                <w:lang w:eastAsia="pt-BR"/>
              </w:rPr>
              <w:tab/>
            </w:r>
            <w:r w:rsidR="008C0AE8" w:rsidRPr="00603E9B">
              <w:rPr>
                <w:rStyle w:val="Hyperlink"/>
                <w:rFonts w:cs="Calibri"/>
                <w:noProof/>
                <w:lang w:eastAsia="pt-BR"/>
              </w:rPr>
              <w:t>Conselho Administrativo</w:t>
            </w:r>
            <w:r w:rsidR="008C0AE8">
              <w:rPr>
                <w:noProof/>
                <w:webHidden/>
              </w:rPr>
              <w:tab/>
            </w:r>
            <w:r w:rsidR="008C0AE8">
              <w:rPr>
                <w:noProof/>
                <w:webHidden/>
              </w:rPr>
              <w:fldChar w:fldCharType="begin"/>
            </w:r>
            <w:r w:rsidR="008C0AE8">
              <w:rPr>
                <w:noProof/>
                <w:webHidden/>
              </w:rPr>
              <w:instrText xml:space="preserve"> PAGEREF _Toc93910744 \h </w:instrText>
            </w:r>
            <w:r w:rsidR="008C0AE8">
              <w:rPr>
                <w:noProof/>
                <w:webHidden/>
              </w:rPr>
            </w:r>
            <w:r w:rsidR="008C0AE8">
              <w:rPr>
                <w:noProof/>
                <w:webHidden/>
              </w:rPr>
              <w:fldChar w:fldCharType="separate"/>
            </w:r>
            <w:r w:rsidR="007E45D9">
              <w:rPr>
                <w:noProof/>
                <w:webHidden/>
              </w:rPr>
              <w:t>3</w:t>
            </w:r>
            <w:r w:rsidR="008C0AE8">
              <w:rPr>
                <w:noProof/>
                <w:webHidden/>
              </w:rPr>
              <w:fldChar w:fldCharType="end"/>
            </w:r>
          </w:hyperlink>
        </w:p>
        <w:p w14:paraId="067A742E" w14:textId="0A715015" w:rsidR="008C0AE8" w:rsidRDefault="00646678">
          <w:pPr>
            <w:pStyle w:val="Sumrio1"/>
            <w:rPr>
              <w:rFonts w:asciiTheme="minorHAnsi" w:eastAsiaTheme="minorEastAsia" w:hAnsiTheme="minorHAnsi" w:cstheme="minorBidi"/>
              <w:noProof/>
              <w:lang w:eastAsia="pt-BR"/>
            </w:rPr>
          </w:pPr>
          <w:hyperlink w:anchor="_Toc93910745" w:history="1">
            <w:r w:rsidR="008C0AE8" w:rsidRPr="00603E9B">
              <w:rPr>
                <w:rStyle w:val="Hyperlink"/>
                <w:rFonts w:cs="Calibri"/>
                <w:bCs/>
                <w:noProof/>
                <w:lang w:eastAsia="pt-BR"/>
              </w:rPr>
              <w:t>3.</w:t>
            </w:r>
            <w:r w:rsidR="008C0AE8">
              <w:rPr>
                <w:rFonts w:asciiTheme="minorHAnsi" w:eastAsiaTheme="minorEastAsia" w:hAnsiTheme="minorHAnsi" w:cstheme="minorBidi"/>
                <w:noProof/>
                <w:lang w:eastAsia="pt-BR"/>
              </w:rPr>
              <w:tab/>
            </w:r>
            <w:r w:rsidR="008C0AE8" w:rsidRPr="00603E9B">
              <w:rPr>
                <w:rStyle w:val="Hyperlink"/>
                <w:rFonts w:cs="Calibri"/>
                <w:noProof/>
                <w:lang w:eastAsia="pt-BR"/>
              </w:rPr>
              <w:t>Perfil do Investidor</w:t>
            </w:r>
            <w:r w:rsidR="008C0AE8">
              <w:rPr>
                <w:noProof/>
                <w:webHidden/>
              </w:rPr>
              <w:tab/>
            </w:r>
            <w:r w:rsidR="008C0AE8">
              <w:rPr>
                <w:noProof/>
                <w:webHidden/>
              </w:rPr>
              <w:fldChar w:fldCharType="begin"/>
            </w:r>
            <w:r w:rsidR="008C0AE8">
              <w:rPr>
                <w:noProof/>
                <w:webHidden/>
              </w:rPr>
              <w:instrText xml:space="preserve"> PAGEREF _Toc93910745 \h </w:instrText>
            </w:r>
            <w:r w:rsidR="008C0AE8">
              <w:rPr>
                <w:noProof/>
                <w:webHidden/>
              </w:rPr>
            </w:r>
            <w:r w:rsidR="008C0AE8">
              <w:rPr>
                <w:noProof/>
                <w:webHidden/>
              </w:rPr>
              <w:fldChar w:fldCharType="separate"/>
            </w:r>
            <w:r w:rsidR="007E45D9">
              <w:rPr>
                <w:noProof/>
                <w:webHidden/>
              </w:rPr>
              <w:t>4</w:t>
            </w:r>
            <w:r w:rsidR="008C0AE8">
              <w:rPr>
                <w:noProof/>
                <w:webHidden/>
              </w:rPr>
              <w:fldChar w:fldCharType="end"/>
            </w:r>
          </w:hyperlink>
        </w:p>
        <w:p w14:paraId="22C7BD8A" w14:textId="0DF5205B" w:rsidR="008C0AE8" w:rsidRDefault="00646678">
          <w:pPr>
            <w:pStyle w:val="Sumrio1"/>
            <w:rPr>
              <w:rFonts w:asciiTheme="minorHAnsi" w:eastAsiaTheme="minorEastAsia" w:hAnsiTheme="minorHAnsi" w:cstheme="minorBidi"/>
              <w:noProof/>
              <w:lang w:eastAsia="pt-BR"/>
            </w:rPr>
          </w:pPr>
          <w:hyperlink w:anchor="_Toc93910746" w:history="1">
            <w:r w:rsidR="008C0AE8" w:rsidRPr="00603E9B">
              <w:rPr>
                <w:rStyle w:val="Hyperlink"/>
                <w:rFonts w:cs="Calibri"/>
                <w:bCs/>
                <w:noProof/>
                <w:lang w:eastAsia="pt-BR"/>
              </w:rPr>
              <w:t>4.</w:t>
            </w:r>
            <w:r w:rsidR="008C0AE8">
              <w:rPr>
                <w:rFonts w:asciiTheme="minorHAnsi" w:eastAsiaTheme="minorEastAsia" w:hAnsiTheme="minorHAnsi" w:cstheme="minorBidi"/>
                <w:noProof/>
                <w:lang w:eastAsia="pt-BR"/>
              </w:rPr>
              <w:tab/>
            </w:r>
            <w:r w:rsidR="008C0AE8" w:rsidRPr="00603E9B">
              <w:rPr>
                <w:rStyle w:val="Hyperlink"/>
                <w:rFonts w:cs="Calibri"/>
                <w:noProof/>
                <w:lang w:eastAsia="pt-BR"/>
              </w:rPr>
              <w:t>Gestão Previdenciária</w:t>
            </w:r>
            <w:r w:rsidR="008C0AE8">
              <w:rPr>
                <w:noProof/>
                <w:webHidden/>
              </w:rPr>
              <w:tab/>
            </w:r>
            <w:r w:rsidR="008C0AE8">
              <w:rPr>
                <w:noProof/>
                <w:webHidden/>
              </w:rPr>
              <w:fldChar w:fldCharType="begin"/>
            </w:r>
            <w:r w:rsidR="008C0AE8">
              <w:rPr>
                <w:noProof/>
                <w:webHidden/>
              </w:rPr>
              <w:instrText xml:space="preserve"> PAGEREF _Toc93910746 \h </w:instrText>
            </w:r>
            <w:r w:rsidR="008C0AE8">
              <w:rPr>
                <w:noProof/>
                <w:webHidden/>
              </w:rPr>
            </w:r>
            <w:r w:rsidR="008C0AE8">
              <w:rPr>
                <w:noProof/>
                <w:webHidden/>
              </w:rPr>
              <w:fldChar w:fldCharType="separate"/>
            </w:r>
            <w:r w:rsidR="007E45D9">
              <w:rPr>
                <w:noProof/>
                <w:webHidden/>
              </w:rPr>
              <w:t>5</w:t>
            </w:r>
            <w:r w:rsidR="008C0AE8">
              <w:rPr>
                <w:noProof/>
                <w:webHidden/>
              </w:rPr>
              <w:fldChar w:fldCharType="end"/>
            </w:r>
          </w:hyperlink>
        </w:p>
        <w:p w14:paraId="63BF0CC8" w14:textId="44C605AE" w:rsidR="008C0AE8" w:rsidRDefault="00646678">
          <w:pPr>
            <w:pStyle w:val="Sumrio1"/>
            <w:rPr>
              <w:rFonts w:asciiTheme="minorHAnsi" w:eastAsiaTheme="minorEastAsia" w:hAnsiTheme="minorHAnsi" w:cstheme="minorBidi"/>
              <w:noProof/>
              <w:lang w:eastAsia="pt-BR"/>
            </w:rPr>
          </w:pPr>
          <w:hyperlink w:anchor="_Toc93910747" w:history="1">
            <w:r w:rsidR="008C0AE8" w:rsidRPr="00603E9B">
              <w:rPr>
                <w:rStyle w:val="Hyperlink"/>
                <w:rFonts w:cs="Calibri"/>
                <w:bCs/>
                <w:noProof/>
                <w:lang w:eastAsia="pt-BR"/>
              </w:rPr>
              <w:t>5.</w:t>
            </w:r>
            <w:r w:rsidR="008C0AE8">
              <w:rPr>
                <w:rFonts w:asciiTheme="minorHAnsi" w:eastAsiaTheme="minorEastAsia" w:hAnsiTheme="minorHAnsi" w:cstheme="minorBidi"/>
                <w:noProof/>
                <w:lang w:eastAsia="pt-BR"/>
              </w:rPr>
              <w:tab/>
            </w:r>
            <w:r w:rsidR="008C0AE8" w:rsidRPr="00603E9B">
              <w:rPr>
                <w:rStyle w:val="Hyperlink"/>
                <w:rFonts w:cs="Calibri"/>
                <w:noProof/>
                <w:lang w:eastAsia="pt-BR"/>
              </w:rPr>
              <w:t>Critérios para a contratação de pessoas jurídicas</w:t>
            </w:r>
            <w:r w:rsidR="008C0AE8">
              <w:rPr>
                <w:noProof/>
                <w:webHidden/>
              </w:rPr>
              <w:tab/>
            </w:r>
            <w:r w:rsidR="00937C13">
              <w:rPr>
                <w:noProof/>
                <w:webHidden/>
              </w:rPr>
              <w:t>7</w:t>
            </w:r>
          </w:hyperlink>
        </w:p>
        <w:p w14:paraId="335A3098" w14:textId="0B4AAA02" w:rsidR="008C0AE8" w:rsidRDefault="00646678">
          <w:pPr>
            <w:pStyle w:val="Sumrio1"/>
            <w:rPr>
              <w:rFonts w:asciiTheme="minorHAnsi" w:eastAsiaTheme="minorEastAsia" w:hAnsiTheme="minorHAnsi" w:cstheme="minorBidi"/>
              <w:noProof/>
              <w:lang w:eastAsia="pt-BR"/>
            </w:rPr>
          </w:pPr>
          <w:hyperlink w:anchor="_Toc93910748" w:history="1">
            <w:r w:rsidR="008C0AE8" w:rsidRPr="00603E9B">
              <w:rPr>
                <w:rStyle w:val="Hyperlink"/>
                <w:rFonts w:cs="Calibri"/>
                <w:bCs/>
                <w:noProof/>
                <w:lang w:eastAsia="pt-BR"/>
              </w:rPr>
              <w:t>6.</w:t>
            </w:r>
            <w:r w:rsidR="008C0AE8">
              <w:rPr>
                <w:rFonts w:asciiTheme="minorHAnsi" w:eastAsiaTheme="minorEastAsia" w:hAnsiTheme="minorHAnsi" w:cstheme="minorBidi"/>
                <w:noProof/>
                <w:lang w:eastAsia="pt-BR"/>
              </w:rPr>
              <w:tab/>
            </w:r>
            <w:r w:rsidR="008C0AE8" w:rsidRPr="00603E9B">
              <w:rPr>
                <w:rStyle w:val="Hyperlink"/>
                <w:rFonts w:cs="Calibri"/>
                <w:noProof/>
                <w:lang w:eastAsia="pt-BR"/>
              </w:rPr>
              <w:t>Validade</w:t>
            </w:r>
            <w:r w:rsidR="008C0AE8">
              <w:rPr>
                <w:noProof/>
                <w:webHidden/>
              </w:rPr>
              <w:tab/>
            </w:r>
            <w:r w:rsidR="008C0AE8">
              <w:rPr>
                <w:noProof/>
                <w:webHidden/>
              </w:rPr>
              <w:fldChar w:fldCharType="begin"/>
            </w:r>
            <w:r w:rsidR="008C0AE8">
              <w:rPr>
                <w:noProof/>
                <w:webHidden/>
              </w:rPr>
              <w:instrText xml:space="preserve"> PAGEREF _Toc93910748 \h </w:instrText>
            </w:r>
            <w:r w:rsidR="008C0AE8">
              <w:rPr>
                <w:noProof/>
                <w:webHidden/>
              </w:rPr>
            </w:r>
            <w:r w:rsidR="008C0AE8">
              <w:rPr>
                <w:noProof/>
                <w:webHidden/>
              </w:rPr>
              <w:fldChar w:fldCharType="separate"/>
            </w:r>
            <w:r w:rsidR="007E45D9">
              <w:rPr>
                <w:noProof/>
                <w:webHidden/>
              </w:rPr>
              <w:t>7</w:t>
            </w:r>
            <w:r w:rsidR="008C0AE8">
              <w:rPr>
                <w:noProof/>
                <w:webHidden/>
              </w:rPr>
              <w:fldChar w:fldCharType="end"/>
            </w:r>
          </w:hyperlink>
        </w:p>
        <w:p w14:paraId="26070C30" w14:textId="544F6C9C" w:rsidR="008C0AE8" w:rsidRDefault="00646678">
          <w:pPr>
            <w:pStyle w:val="Sumrio1"/>
            <w:rPr>
              <w:rFonts w:asciiTheme="minorHAnsi" w:eastAsiaTheme="minorEastAsia" w:hAnsiTheme="minorHAnsi" w:cstheme="minorBidi"/>
              <w:noProof/>
              <w:lang w:eastAsia="pt-BR"/>
            </w:rPr>
          </w:pPr>
          <w:hyperlink w:anchor="_Toc93910749" w:history="1">
            <w:r w:rsidR="008C0AE8" w:rsidRPr="00603E9B">
              <w:rPr>
                <w:rStyle w:val="Hyperlink"/>
                <w:rFonts w:cs="Calibri"/>
                <w:bCs/>
                <w:noProof/>
                <w:lang w:eastAsia="pt-BR"/>
              </w:rPr>
              <w:t>7.</w:t>
            </w:r>
            <w:r w:rsidR="008C0AE8">
              <w:rPr>
                <w:rFonts w:asciiTheme="minorHAnsi" w:eastAsiaTheme="minorEastAsia" w:hAnsiTheme="minorHAnsi" w:cstheme="minorBidi"/>
                <w:noProof/>
                <w:lang w:eastAsia="pt-BR"/>
              </w:rPr>
              <w:tab/>
            </w:r>
            <w:r w:rsidR="008C0AE8" w:rsidRPr="00603E9B">
              <w:rPr>
                <w:rStyle w:val="Hyperlink"/>
                <w:rFonts w:cs="Calibri"/>
                <w:noProof/>
              </w:rPr>
              <w:t>Meta de Rentabilidade dos Investimentos</w:t>
            </w:r>
            <w:r w:rsidR="008C0AE8">
              <w:rPr>
                <w:noProof/>
                <w:webHidden/>
              </w:rPr>
              <w:tab/>
            </w:r>
            <w:r w:rsidR="00937C13">
              <w:rPr>
                <w:noProof/>
                <w:webHidden/>
              </w:rPr>
              <w:t>8</w:t>
            </w:r>
          </w:hyperlink>
        </w:p>
        <w:p w14:paraId="776B6686" w14:textId="684C1FAB" w:rsidR="008C0AE8" w:rsidRDefault="00646678">
          <w:pPr>
            <w:pStyle w:val="Sumrio1"/>
            <w:rPr>
              <w:rFonts w:asciiTheme="minorHAnsi" w:eastAsiaTheme="minorEastAsia" w:hAnsiTheme="minorHAnsi" w:cstheme="minorBidi"/>
              <w:noProof/>
              <w:lang w:eastAsia="pt-BR"/>
            </w:rPr>
          </w:pPr>
          <w:hyperlink w:anchor="_Toc93910750" w:history="1">
            <w:r w:rsidR="008C0AE8" w:rsidRPr="00603E9B">
              <w:rPr>
                <w:rStyle w:val="Hyperlink"/>
                <w:rFonts w:cs="Calibri"/>
                <w:bCs/>
                <w:noProof/>
              </w:rPr>
              <w:t>8.</w:t>
            </w:r>
            <w:r w:rsidR="008C0AE8">
              <w:rPr>
                <w:rFonts w:asciiTheme="minorHAnsi" w:eastAsiaTheme="minorEastAsia" w:hAnsiTheme="minorHAnsi" w:cstheme="minorBidi"/>
                <w:noProof/>
                <w:lang w:eastAsia="pt-BR"/>
              </w:rPr>
              <w:tab/>
            </w:r>
            <w:r w:rsidR="008C0AE8" w:rsidRPr="00603E9B">
              <w:rPr>
                <w:rStyle w:val="Hyperlink"/>
                <w:rFonts w:cs="Calibri"/>
                <w:bCs/>
                <w:noProof/>
              </w:rPr>
              <w:t>Metodologia de Seleção de Investimentos e Precificação de Ativos</w:t>
            </w:r>
            <w:r w:rsidR="008C0AE8">
              <w:rPr>
                <w:noProof/>
                <w:webHidden/>
              </w:rPr>
              <w:tab/>
            </w:r>
            <w:r w:rsidR="008C0AE8">
              <w:rPr>
                <w:noProof/>
                <w:webHidden/>
              </w:rPr>
              <w:fldChar w:fldCharType="begin"/>
            </w:r>
            <w:r w:rsidR="008C0AE8">
              <w:rPr>
                <w:noProof/>
                <w:webHidden/>
              </w:rPr>
              <w:instrText xml:space="preserve"> PAGEREF _Toc93910750 \h </w:instrText>
            </w:r>
            <w:r w:rsidR="008C0AE8">
              <w:rPr>
                <w:noProof/>
                <w:webHidden/>
              </w:rPr>
            </w:r>
            <w:r w:rsidR="008C0AE8">
              <w:rPr>
                <w:noProof/>
                <w:webHidden/>
              </w:rPr>
              <w:fldChar w:fldCharType="separate"/>
            </w:r>
            <w:r w:rsidR="007E45D9">
              <w:rPr>
                <w:noProof/>
                <w:webHidden/>
              </w:rPr>
              <w:t>10</w:t>
            </w:r>
            <w:r w:rsidR="008C0AE8">
              <w:rPr>
                <w:noProof/>
                <w:webHidden/>
              </w:rPr>
              <w:fldChar w:fldCharType="end"/>
            </w:r>
          </w:hyperlink>
        </w:p>
        <w:p w14:paraId="6E4921C1" w14:textId="4AC0EF18" w:rsidR="008C0AE8" w:rsidRDefault="00646678">
          <w:pPr>
            <w:pStyle w:val="Sumrio1"/>
            <w:rPr>
              <w:rFonts w:asciiTheme="minorHAnsi" w:eastAsiaTheme="minorEastAsia" w:hAnsiTheme="minorHAnsi" w:cstheme="minorBidi"/>
              <w:noProof/>
              <w:lang w:eastAsia="pt-BR"/>
            </w:rPr>
          </w:pPr>
          <w:hyperlink w:anchor="_Toc93910751" w:history="1">
            <w:r w:rsidR="008C0AE8" w:rsidRPr="00603E9B">
              <w:rPr>
                <w:rStyle w:val="Hyperlink"/>
                <w:rFonts w:cs="Calibri"/>
                <w:bCs/>
                <w:noProof/>
              </w:rPr>
              <w:t>9.</w:t>
            </w:r>
            <w:r w:rsidR="008C0AE8">
              <w:rPr>
                <w:rFonts w:asciiTheme="minorHAnsi" w:eastAsiaTheme="minorEastAsia" w:hAnsiTheme="minorHAnsi" w:cstheme="minorBidi"/>
                <w:noProof/>
                <w:lang w:eastAsia="pt-BR"/>
              </w:rPr>
              <w:tab/>
            </w:r>
            <w:r w:rsidR="008C0AE8" w:rsidRPr="00603E9B">
              <w:rPr>
                <w:rStyle w:val="Hyperlink"/>
                <w:rFonts w:cs="Calibri"/>
                <w:noProof/>
              </w:rPr>
              <w:t>Melhores Praticas</w:t>
            </w:r>
            <w:r w:rsidR="008C0AE8">
              <w:rPr>
                <w:noProof/>
                <w:webHidden/>
              </w:rPr>
              <w:tab/>
            </w:r>
            <w:r w:rsidR="008C0AE8">
              <w:rPr>
                <w:noProof/>
                <w:webHidden/>
              </w:rPr>
              <w:fldChar w:fldCharType="begin"/>
            </w:r>
            <w:r w:rsidR="008C0AE8">
              <w:rPr>
                <w:noProof/>
                <w:webHidden/>
              </w:rPr>
              <w:instrText xml:space="preserve"> PAGEREF _Toc93910751 \h </w:instrText>
            </w:r>
            <w:r w:rsidR="008C0AE8">
              <w:rPr>
                <w:noProof/>
                <w:webHidden/>
              </w:rPr>
            </w:r>
            <w:r w:rsidR="008C0AE8">
              <w:rPr>
                <w:noProof/>
                <w:webHidden/>
              </w:rPr>
              <w:fldChar w:fldCharType="separate"/>
            </w:r>
            <w:r w:rsidR="007E45D9">
              <w:rPr>
                <w:noProof/>
                <w:webHidden/>
              </w:rPr>
              <w:t>1</w:t>
            </w:r>
            <w:r w:rsidR="00937C13">
              <w:rPr>
                <w:noProof/>
                <w:webHidden/>
              </w:rPr>
              <w:t>1</w:t>
            </w:r>
            <w:r w:rsidR="008C0AE8">
              <w:rPr>
                <w:noProof/>
                <w:webHidden/>
              </w:rPr>
              <w:fldChar w:fldCharType="end"/>
            </w:r>
          </w:hyperlink>
        </w:p>
        <w:p w14:paraId="06A0EBB8" w14:textId="684AD45F" w:rsidR="008C0AE8" w:rsidRDefault="00646678">
          <w:pPr>
            <w:pStyle w:val="Sumrio1"/>
            <w:rPr>
              <w:rFonts w:asciiTheme="minorHAnsi" w:eastAsiaTheme="minorEastAsia" w:hAnsiTheme="minorHAnsi" w:cstheme="minorBidi"/>
              <w:noProof/>
              <w:lang w:eastAsia="pt-BR"/>
            </w:rPr>
          </w:pPr>
          <w:hyperlink w:anchor="_Toc93910752" w:history="1">
            <w:r w:rsidR="008C0AE8" w:rsidRPr="00603E9B">
              <w:rPr>
                <w:rStyle w:val="Hyperlink"/>
                <w:bCs/>
                <w:noProof/>
                <w:lang w:eastAsia="pt-BR"/>
              </w:rPr>
              <w:t>10.</w:t>
            </w:r>
            <w:r w:rsidR="008C0AE8">
              <w:rPr>
                <w:rFonts w:asciiTheme="minorHAnsi" w:eastAsiaTheme="minorEastAsia" w:hAnsiTheme="minorHAnsi" w:cstheme="minorBidi"/>
                <w:noProof/>
                <w:lang w:eastAsia="pt-BR"/>
              </w:rPr>
              <w:tab/>
            </w:r>
            <w:r w:rsidR="008C0AE8" w:rsidRPr="00603E9B">
              <w:rPr>
                <w:rStyle w:val="Hyperlink"/>
                <w:noProof/>
                <w:lang w:eastAsia="pt-BR"/>
              </w:rPr>
              <w:t>Cenário</w:t>
            </w:r>
            <w:r w:rsidR="008C0AE8">
              <w:rPr>
                <w:noProof/>
                <w:webHidden/>
              </w:rPr>
              <w:tab/>
            </w:r>
            <w:r w:rsidR="008C0AE8">
              <w:rPr>
                <w:noProof/>
                <w:webHidden/>
              </w:rPr>
              <w:fldChar w:fldCharType="begin"/>
            </w:r>
            <w:r w:rsidR="008C0AE8">
              <w:rPr>
                <w:noProof/>
                <w:webHidden/>
              </w:rPr>
              <w:instrText xml:space="preserve"> PAGEREF _Toc93910752 \h </w:instrText>
            </w:r>
            <w:r w:rsidR="008C0AE8">
              <w:rPr>
                <w:noProof/>
                <w:webHidden/>
              </w:rPr>
            </w:r>
            <w:r w:rsidR="008C0AE8">
              <w:rPr>
                <w:noProof/>
                <w:webHidden/>
              </w:rPr>
              <w:fldChar w:fldCharType="separate"/>
            </w:r>
            <w:r w:rsidR="007E45D9">
              <w:rPr>
                <w:noProof/>
                <w:webHidden/>
              </w:rPr>
              <w:t>1</w:t>
            </w:r>
            <w:r w:rsidR="00937C13">
              <w:rPr>
                <w:noProof/>
                <w:webHidden/>
              </w:rPr>
              <w:t>1</w:t>
            </w:r>
            <w:r w:rsidR="008C0AE8">
              <w:rPr>
                <w:noProof/>
                <w:webHidden/>
              </w:rPr>
              <w:fldChar w:fldCharType="end"/>
            </w:r>
          </w:hyperlink>
        </w:p>
        <w:p w14:paraId="667F9608" w14:textId="679DACAC" w:rsidR="008C0AE8" w:rsidRDefault="00646678">
          <w:pPr>
            <w:pStyle w:val="Sumrio1"/>
            <w:rPr>
              <w:rFonts w:asciiTheme="minorHAnsi" w:eastAsiaTheme="minorEastAsia" w:hAnsiTheme="minorHAnsi" w:cstheme="minorBidi"/>
              <w:noProof/>
              <w:lang w:eastAsia="pt-BR"/>
            </w:rPr>
          </w:pPr>
          <w:hyperlink w:anchor="_Toc93910753" w:history="1">
            <w:r w:rsidR="008C0AE8" w:rsidRPr="00603E9B">
              <w:rPr>
                <w:rStyle w:val="Hyperlink"/>
                <w:bCs/>
                <w:noProof/>
              </w:rPr>
              <w:t>11.</w:t>
            </w:r>
            <w:r w:rsidR="008C0AE8">
              <w:rPr>
                <w:rFonts w:asciiTheme="minorHAnsi" w:eastAsiaTheme="minorEastAsia" w:hAnsiTheme="minorHAnsi" w:cstheme="minorBidi"/>
                <w:noProof/>
                <w:lang w:eastAsia="pt-BR"/>
              </w:rPr>
              <w:tab/>
            </w:r>
            <w:r w:rsidR="008C0AE8" w:rsidRPr="00603E9B">
              <w:rPr>
                <w:rStyle w:val="Hyperlink"/>
                <w:noProof/>
              </w:rPr>
              <w:t>Índice de Referência por Segmento</w:t>
            </w:r>
            <w:r w:rsidR="008C0AE8">
              <w:rPr>
                <w:noProof/>
                <w:webHidden/>
              </w:rPr>
              <w:tab/>
            </w:r>
            <w:r w:rsidR="008C0AE8">
              <w:rPr>
                <w:noProof/>
                <w:webHidden/>
              </w:rPr>
              <w:fldChar w:fldCharType="begin"/>
            </w:r>
            <w:r w:rsidR="008C0AE8">
              <w:rPr>
                <w:noProof/>
                <w:webHidden/>
              </w:rPr>
              <w:instrText xml:space="preserve"> PAGEREF _Toc93910753 \h </w:instrText>
            </w:r>
            <w:r w:rsidR="008C0AE8">
              <w:rPr>
                <w:noProof/>
                <w:webHidden/>
              </w:rPr>
            </w:r>
            <w:r w:rsidR="008C0AE8">
              <w:rPr>
                <w:noProof/>
                <w:webHidden/>
              </w:rPr>
              <w:fldChar w:fldCharType="separate"/>
            </w:r>
            <w:r w:rsidR="007E45D9">
              <w:rPr>
                <w:noProof/>
                <w:webHidden/>
              </w:rPr>
              <w:t>2</w:t>
            </w:r>
            <w:r w:rsidR="00937C13">
              <w:rPr>
                <w:noProof/>
                <w:webHidden/>
              </w:rPr>
              <w:t>1</w:t>
            </w:r>
            <w:r w:rsidR="008C0AE8">
              <w:rPr>
                <w:noProof/>
                <w:webHidden/>
              </w:rPr>
              <w:fldChar w:fldCharType="end"/>
            </w:r>
          </w:hyperlink>
        </w:p>
        <w:p w14:paraId="47ABA6D8" w14:textId="50270E95" w:rsidR="008C0AE8" w:rsidRDefault="00646678">
          <w:pPr>
            <w:pStyle w:val="Sumrio1"/>
            <w:rPr>
              <w:rFonts w:asciiTheme="minorHAnsi" w:eastAsiaTheme="minorEastAsia" w:hAnsiTheme="minorHAnsi" w:cstheme="minorBidi"/>
              <w:noProof/>
              <w:lang w:eastAsia="pt-BR"/>
            </w:rPr>
          </w:pPr>
          <w:hyperlink w:anchor="_Toc93910754" w:history="1">
            <w:r w:rsidR="008C0AE8" w:rsidRPr="00603E9B">
              <w:rPr>
                <w:rStyle w:val="Hyperlink"/>
                <w:bCs/>
                <w:noProof/>
              </w:rPr>
              <w:t>12.</w:t>
            </w:r>
            <w:r w:rsidR="008C0AE8">
              <w:rPr>
                <w:rFonts w:asciiTheme="minorHAnsi" w:eastAsiaTheme="minorEastAsia" w:hAnsiTheme="minorHAnsi" w:cstheme="minorBidi"/>
                <w:noProof/>
                <w:lang w:eastAsia="pt-BR"/>
              </w:rPr>
              <w:tab/>
            </w:r>
            <w:r w:rsidR="008C0AE8" w:rsidRPr="00603E9B">
              <w:rPr>
                <w:rStyle w:val="Hyperlink"/>
                <w:noProof/>
              </w:rPr>
              <w:t>Rating de Gestão</w:t>
            </w:r>
            <w:r w:rsidR="008C0AE8">
              <w:rPr>
                <w:noProof/>
                <w:webHidden/>
              </w:rPr>
              <w:tab/>
            </w:r>
            <w:r w:rsidR="008C0AE8">
              <w:rPr>
                <w:noProof/>
                <w:webHidden/>
              </w:rPr>
              <w:fldChar w:fldCharType="begin"/>
            </w:r>
            <w:r w:rsidR="008C0AE8">
              <w:rPr>
                <w:noProof/>
                <w:webHidden/>
              </w:rPr>
              <w:instrText xml:space="preserve"> PAGEREF _Toc93910754 \h </w:instrText>
            </w:r>
            <w:r w:rsidR="008C0AE8">
              <w:rPr>
                <w:noProof/>
                <w:webHidden/>
              </w:rPr>
            </w:r>
            <w:r w:rsidR="008C0AE8">
              <w:rPr>
                <w:noProof/>
                <w:webHidden/>
              </w:rPr>
              <w:fldChar w:fldCharType="separate"/>
            </w:r>
            <w:r w:rsidR="007E45D9">
              <w:rPr>
                <w:noProof/>
                <w:webHidden/>
              </w:rPr>
              <w:t>2</w:t>
            </w:r>
            <w:r w:rsidR="00937C13">
              <w:rPr>
                <w:noProof/>
                <w:webHidden/>
              </w:rPr>
              <w:t>1</w:t>
            </w:r>
            <w:r w:rsidR="008C0AE8">
              <w:rPr>
                <w:noProof/>
                <w:webHidden/>
              </w:rPr>
              <w:fldChar w:fldCharType="end"/>
            </w:r>
          </w:hyperlink>
        </w:p>
        <w:p w14:paraId="1F2C8290" w14:textId="4F3C0645" w:rsidR="008C0AE8" w:rsidRDefault="00646678">
          <w:pPr>
            <w:pStyle w:val="Sumrio1"/>
            <w:rPr>
              <w:rFonts w:asciiTheme="minorHAnsi" w:eastAsiaTheme="minorEastAsia" w:hAnsiTheme="minorHAnsi" w:cstheme="minorBidi"/>
              <w:noProof/>
              <w:lang w:eastAsia="pt-BR"/>
            </w:rPr>
          </w:pPr>
          <w:hyperlink w:anchor="_Toc93910755" w:history="1">
            <w:r w:rsidR="008C0AE8" w:rsidRPr="00603E9B">
              <w:rPr>
                <w:rStyle w:val="Hyperlink"/>
                <w:bCs/>
                <w:noProof/>
              </w:rPr>
              <w:t>13.</w:t>
            </w:r>
            <w:r w:rsidR="008C0AE8">
              <w:rPr>
                <w:rFonts w:asciiTheme="minorHAnsi" w:eastAsiaTheme="minorEastAsia" w:hAnsiTheme="minorHAnsi" w:cstheme="minorBidi"/>
                <w:noProof/>
                <w:lang w:eastAsia="pt-BR"/>
              </w:rPr>
              <w:tab/>
            </w:r>
            <w:r w:rsidR="008C0AE8" w:rsidRPr="00603E9B">
              <w:rPr>
                <w:rStyle w:val="Hyperlink"/>
                <w:noProof/>
              </w:rPr>
              <w:t>Gestão de Risco</w:t>
            </w:r>
            <w:r w:rsidR="008C0AE8">
              <w:rPr>
                <w:noProof/>
                <w:webHidden/>
              </w:rPr>
              <w:tab/>
            </w:r>
            <w:r w:rsidR="00937C13">
              <w:rPr>
                <w:noProof/>
                <w:webHidden/>
              </w:rPr>
              <w:t>22</w:t>
            </w:r>
          </w:hyperlink>
        </w:p>
        <w:p w14:paraId="09999CD7" w14:textId="43A462F9" w:rsidR="008C0AE8" w:rsidRPr="008C0AE8" w:rsidRDefault="00646678">
          <w:pPr>
            <w:pStyle w:val="Sumrio2"/>
            <w:tabs>
              <w:tab w:val="left" w:pos="1100"/>
              <w:tab w:val="right" w:leader="dot" w:pos="8494"/>
            </w:tabs>
            <w:rPr>
              <w:rFonts w:asciiTheme="minorHAnsi" w:eastAsiaTheme="minorEastAsia" w:hAnsiTheme="minorHAnsi" w:cstheme="minorBidi"/>
              <w:noProof/>
              <w:lang w:eastAsia="pt-BR"/>
            </w:rPr>
          </w:pPr>
          <w:hyperlink w:anchor="_Toc93910756" w:history="1">
            <w:r w:rsidR="008C0AE8" w:rsidRPr="008C0AE8">
              <w:rPr>
                <w:rStyle w:val="Hyperlink"/>
                <w:rFonts w:cs="Calibri"/>
                <w:noProof/>
              </w:rPr>
              <w:t>13.1.</w:t>
            </w:r>
            <w:r w:rsidR="008C0AE8" w:rsidRPr="008C0AE8">
              <w:rPr>
                <w:rFonts w:asciiTheme="minorHAnsi" w:eastAsiaTheme="minorEastAsia" w:hAnsiTheme="minorHAnsi" w:cstheme="minorBidi"/>
                <w:noProof/>
                <w:lang w:eastAsia="pt-BR"/>
              </w:rPr>
              <w:tab/>
            </w:r>
            <w:r w:rsidR="008C0AE8" w:rsidRPr="008C0AE8">
              <w:rPr>
                <w:rStyle w:val="Hyperlink"/>
                <w:rFonts w:cs="Calibri"/>
                <w:noProof/>
              </w:rPr>
              <w:t>Risco de Mercado</w:t>
            </w:r>
            <w:r w:rsidR="008C0AE8" w:rsidRPr="008C0AE8">
              <w:rPr>
                <w:noProof/>
                <w:webHidden/>
              </w:rPr>
              <w:tab/>
            </w:r>
            <w:r w:rsidR="00937C13">
              <w:rPr>
                <w:noProof/>
                <w:webHidden/>
              </w:rPr>
              <w:t>22</w:t>
            </w:r>
          </w:hyperlink>
        </w:p>
        <w:p w14:paraId="6522A55E" w14:textId="41B4896D" w:rsidR="008C0AE8" w:rsidRPr="008C0AE8" w:rsidRDefault="00646678">
          <w:pPr>
            <w:pStyle w:val="Sumrio2"/>
            <w:tabs>
              <w:tab w:val="left" w:pos="1100"/>
              <w:tab w:val="right" w:leader="dot" w:pos="8494"/>
            </w:tabs>
            <w:rPr>
              <w:rFonts w:asciiTheme="minorHAnsi" w:eastAsiaTheme="minorEastAsia" w:hAnsiTheme="minorHAnsi" w:cstheme="minorBidi"/>
              <w:noProof/>
              <w:lang w:eastAsia="pt-BR"/>
            </w:rPr>
          </w:pPr>
          <w:hyperlink w:anchor="_Toc93910757" w:history="1">
            <w:r w:rsidR="008C0AE8" w:rsidRPr="008C0AE8">
              <w:rPr>
                <w:rStyle w:val="Hyperlink"/>
                <w:noProof/>
              </w:rPr>
              <w:t>13.2.</w:t>
            </w:r>
            <w:r w:rsidR="008C0AE8" w:rsidRPr="008C0AE8">
              <w:rPr>
                <w:rFonts w:asciiTheme="minorHAnsi" w:eastAsiaTheme="minorEastAsia" w:hAnsiTheme="minorHAnsi" w:cstheme="minorBidi"/>
                <w:noProof/>
                <w:lang w:eastAsia="pt-BR"/>
              </w:rPr>
              <w:tab/>
            </w:r>
            <w:r w:rsidR="008C0AE8" w:rsidRPr="008C0AE8">
              <w:rPr>
                <w:rStyle w:val="Hyperlink"/>
                <w:noProof/>
              </w:rPr>
              <w:t>Risco de Crédito</w:t>
            </w:r>
            <w:r w:rsidR="008C0AE8" w:rsidRPr="008C0AE8">
              <w:rPr>
                <w:noProof/>
                <w:webHidden/>
              </w:rPr>
              <w:tab/>
            </w:r>
            <w:r w:rsidR="00937C13">
              <w:rPr>
                <w:noProof/>
                <w:webHidden/>
              </w:rPr>
              <w:t>23</w:t>
            </w:r>
          </w:hyperlink>
        </w:p>
        <w:p w14:paraId="7D2EE900" w14:textId="0A1993D3" w:rsidR="008C0AE8" w:rsidRPr="008C0AE8" w:rsidRDefault="00646678">
          <w:pPr>
            <w:pStyle w:val="Sumrio2"/>
            <w:tabs>
              <w:tab w:val="left" w:pos="1100"/>
              <w:tab w:val="right" w:leader="dot" w:pos="8494"/>
            </w:tabs>
            <w:rPr>
              <w:rFonts w:asciiTheme="minorHAnsi" w:eastAsiaTheme="minorEastAsia" w:hAnsiTheme="minorHAnsi" w:cstheme="minorBidi"/>
              <w:noProof/>
              <w:lang w:eastAsia="pt-BR"/>
            </w:rPr>
          </w:pPr>
          <w:hyperlink w:anchor="_Toc93910758" w:history="1">
            <w:r w:rsidR="008C0AE8" w:rsidRPr="008C0AE8">
              <w:rPr>
                <w:rStyle w:val="Hyperlink"/>
                <w:noProof/>
              </w:rPr>
              <w:t>13.3.</w:t>
            </w:r>
            <w:r w:rsidR="008C0AE8" w:rsidRPr="008C0AE8">
              <w:rPr>
                <w:rFonts w:asciiTheme="minorHAnsi" w:eastAsiaTheme="minorEastAsia" w:hAnsiTheme="minorHAnsi" w:cstheme="minorBidi"/>
                <w:noProof/>
                <w:lang w:eastAsia="pt-BR"/>
              </w:rPr>
              <w:tab/>
            </w:r>
            <w:r w:rsidR="008C0AE8" w:rsidRPr="008C0AE8">
              <w:rPr>
                <w:rStyle w:val="Hyperlink"/>
                <w:noProof/>
              </w:rPr>
              <w:t>Risco de Liquidez</w:t>
            </w:r>
            <w:r w:rsidR="008C0AE8" w:rsidRPr="008C0AE8">
              <w:rPr>
                <w:noProof/>
                <w:webHidden/>
              </w:rPr>
              <w:tab/>
            </w:r>
            <w:r w:rsidR="00937C13">
              <w:rPr>
                <w:noProof/>
                <w:webHidden/>
              </w:rPr>
              <w:t>23</w:t>
            </w:r>
          </w:hyperlink>
        </w:p>
        <w:p w14:paraId="0BADADBF" w14:textId="0B1668FB" w:rsidR="008C0AE8" w:rsidRPr="008C0AE8" w:rsidRDefault="00646678">
          <w:pPr>
            <w:pStyle w:val="Sumrio2"/>
            <w:tabs>
              <w:tab w:val="left" w:pos="1100"/>
              <w:tab w:val="right" w:leader="dot" w:pos="8494"/>
            </w:tabs>
            <w:rPr>
              <w:rFonts w:asciiTheme="minorHAnsi" w:eastAsiaTheme="minorEastAsia" w:hAnsiTheme="minorHAnsi" w:cstheme="minorBidi"/>
              <w:noProof/>
              <w:lang w:eastAsia="pt-BR"/>
            </w:rPr>
          </w:pPr>
          <w:hyperlink w:anchor="_Toc93910759" w:history="1">
            <w:r w:rsidR="008C0AE8" w:rsidRPr="008C0AE8">
              <w:rPr>
                <w:rStyle w:val="Hyperlink"/>
                <w:noProof/>
              </w:rPr>
              <w:t>13.4.</w:t>
            </w:r>
            <w:r w:rsidR="008C0AE8" w:rsidRPr="008C0AE8">
              <w:rPr>
                <w:rFonts w:asciiTheme="minorHAnsi" w:eastAsiaTheme="minorEastAsia" w:hAnsiTheme="minorHAnsi" w:cstheme="minorBidi"/>
                <w:noProof/>
                <w:lang w:eastAsia="pt-BR"/>
              </w:rPr>
              <w:tab/>
            </w:r>
            <w:r w:rsidR="008C0AE8" w:rsidRPr="008C0AE8">
              <w:rPr>
                <w:rStyle w:val="Hyperlink"/>
                <w:noProof/>
              </w:rPr>
              <w:t>Risco Sistêmico</w:t>
            </w:r>
            <w:r w:rsidR="008C0AE8" w:rsidRPr="008C0AE8">
              <w:rPr>
                <w:noProof/>
                <w:webHidden/>
              </w:rPr>
              <w:tab/>
            </w:r>
            <w:r w:rsidR="00937C13">
              <w:rPr>
                <w:noProof/>
                <w:webHidden/>
              </w:rPr>
              <w:t>23</w:t>
            </w:r>
          </w:hyperlink>
        </w:p>
        <w:p w14:paraId="20EF3EE5" w14:textId="0FDE24E5" w:rsidR="008C0AE8" w:rsidRDefault="00646678">
          <w:pPr>
            <w:pStyle w:val="Sumrio2"/>
            <w:tabs>
              <w:tab w:val="left" w:pos="1100"/>
              <w:tab w:val="right" w:leader="dot" w:pos="8494"/>
            </w:tabs>
            <w:rPr>
              <w:rFonts w:asciiTheme="minorHAnsi" w:eastAsiaTheme="minorEastAsia" w:hAnsiTheme="minorHAnsi" w:cstheme="minorBidi"/>
              <w:noProof/>
              <w:lang w:eastAsia="pt-BR"/>
            </w:rPr>
          </w:pPr>
          <w:hyperlink w:anchor="_Toc93910760" w:history="1">
            <w:r w:rsidR="008C0AE8" w:rsidRPr="008C0AE8">
              <w:rPr>
                <w:rStyle w:val="Hyperlink"/>
                <w:noProof/>
              </w:rPr>
              <w:t>13.5.</w:t>
            </w:r>
            <w:r w:rsidR="008C0AE8" w:rsidRPr="008C0AE8">
              <w:rPr>
                <w:rFonts w:asciiTheme="minorHAnsi" w:eastAsiaTheme="minorEastAsia" w:hAnsiTheme="minorHAnsi" w:cstheme="minorBidi"/>
                <w:noProof/>
                <w:lang w:eastAsia="pt-BR"/>
              </w:rPr>
              <w:tab/>
            </w:r>
            <w:r w:rsidR="008C0AE8" w:rsidRPr="008C0AE8">
              <w:rPr>
                <w:rStyle w:val="Hyperlink"/>
                <w:noProof/>
              </w:rPr>
              <w:t>Risco de desenquadramento</w:t>
            </w:r>
            <w:r w:rsidR="008C0AE8" w:rsidRPr="008C0AE8">
              <w:rPr>
                <w:noProof/>
                <w:webHidden/>
              </w:rPr>
              <w:tab/>
            </w:r>
            <w:r w:rsidR="00937C13">
              <w:rPr>
                <w:noProof/>
                <w:webHidden/>
              </w:rPr>
              <w:t>24</w:t>
            </w:r>
          </w:hyperlink>
        </w:p>
        <w:p w14:paraId="154CAE1C" w14:textId="2BD426A5" w:rsidR="008C0AE8" w:rsidRDefault="00646678">
          <w:pPr>
            <w:pStyle w:val="Sumrio1"/>
            <w:rPr>
              <w:rFonts w:asciiTheme="minorHAnsi" w:eastAsiaTheme="minorEastAsia" w:hAnsiTheme="minorHAnsi" w:cstheme="minorBidi"/>
              <w:noProof/>
              <w:lang w:eastAsia="pt-BR"/>
            </w:rPr>
          </w:pPr>
          <w:hyperlink w:anchor="_Toc93910761" w:history="1">
            <w:r w:rsidR="008C0AE8" w:rsidRPr="00603E9B">
              <w:rPr>
                <w:rStyle w:val="Hyperlink"/>
                <w:rFonts w:cs="Calibri"/>
                <w:bCs/>
                <w:noProof/>
              </w:rPr>
              <w:t>14.</w:t>
            </w:r>
            <w:r w:rsidR="008C0AE8">
              <w:rPr>
                <w:rFonts w:asciiTheme="minorHAnsi" w:eastAsiaTheme="minorEastAsia" w:hAnsiTheme="minorHAnsi" w:cstheme="minorBidi"/>
                <w:noProof/>
                <w:lang w:eastAsia="pt-BR"/>
              </w:rPr>
              <w:tab/>
            </w:r>
            <w:r w:rsidR="008C0AE8" w:rsidRPr="00603E9B">
              <w:rPr>
                <w:rStyle w:val="Hyperlink"/>
                <w:rFonts w:cs="Calibri"/>
                <w:noProof/>
              </w:rPr>
              <w:t>Enquadramento</w:t>
            </w:r>
            <w:r w:rsidR="008C0AE8">
              <w:rPr>
                <w:noProof/>
                <w:webHidden/>
              </w:rPr>
              <w:tab/>
            </w:r>
            <w:r w:rsidR="00937C13">
              <w:rPr>
                <w:noProof/>
                <w:webHidden/>
              </w:rPr>
              <w:t>24</w:t>
            </w:r>
          </w:hyperlink>
        </w:p>
        <w:p w14:paraId="39C0369F" w14:textId="76EE8589" w:rsidR="008C0AE8" w:rsidRDefault="00646678">
          <w:pPr>
            <w:pStyle w:val="Sumrio1"/>
            <w:rPr>
              <w:rFonts w:asciiTheme="minorHAnsi" w:eastAsiaTheme="minorEastAsia" w:hAnsiTheme="minorHAnsi" w:cstheme="minorBidi"/>
              <w:noProof/>
              <w:lang w:eastAsia="pt-BR"/>
            </w:rPr>
          </w:pPr>
          <w:hyperlink w:anchor="_Toc93910762" w:history="1">
            <w:r w:rsidR="008C0AE8" w:rsidRPr="00603E9B">
              <w:rPr>
                <w:rStyle w:val="Hyperlink"/>
                <w:bCs/>
                <w:noProof/>
                <w:lang w:eastAsia="pt-BR"/>
              </w:rPr>
              <w:t>15.</w:t>
            </w:r>
            <w:r w:rsidR="008C0AE8">
              <w:rPr>
                <w:rFonts w:asciiTheme="minorHAnsi" w:eastAsiaTheme="minorEastAsia" w:hAnsiTheme="minorHAnsi" w:cstheme="minorBidi"/>
                <w:noProof/>
                <w:lang w:eastAsia="pt-BR"/>
              </w:rPr>
              <w:tab/>
            </w:r>
            <w:r w:rsidR="008C0AE8" w:rsidRPr="00603E9B">
              <w:rPr>
                <w:rStyle w:val="Hyperlink"/>
                <w:noProof/>
                <w:lang w:eastAsia="pt-BR"/>
              </w:rPr>
              <w:t>Limites de Alocação dos Recursos</w:t>
            </w:r>
            <w:r w:rsidR="008C0AE8">
              <w:rPr>
                <w:noProof/>
                <w:webHidden/>
              </w:rPr>
              <w:tab/>
            </w:r>
            <w:r w:rsidR="00937C13">
              <w:rPr>
                <w:noProof/>
                <w:webHidden/>
              </w:rPr>
              <w:t>25</w:t>
            </w:r>
          </w:hyperlink>
        </w:p>
        <w:p w14:paraId="1DFC526C" w14:textId="3D7A0BD2" w:rsidR="008C0AE8" w:rsidRPr="008C0AE8" w:rsidRDefault="00646678">
          <w:pPr>
            <w:pStyle w:val="Sumrio2"/>
            <w:tabs>
              <w:tab w:val="left" w:pos="1100"/>
              <w:tab w:val="right" w:leader="dot" w:pos="8494"/>
            </w:tabs>
            <w:rPr>
              <w:rFonts w:asciiTheme="minorHAnsi" w:eastAsiaTheme="minorEastAsia" w:hAnsiTheme="minorHAnsi" w:cstheme="minorBidi"/>
              <w:noProof/>
              <w:lang w:eastAsia="pt-BR"/>
            </w:rPr>
          </w:pPr>
          <w:hyperlink w:anchor="_Toc93910763" w:history="1">
            <w:r w:rsidR="008C0AE8" w:rsidRPr="008C0AE8">
              <w:rPr>
                <w:rStyle w:val="Hyperlink"/>
                <w:noProof/>
              </w:rPr>
              <w:t>15.1.</w:t>
            </w:r>
            <w:r w:rsidR="008C0AE8" w:rsidRPr="008C0AE8">
              <w:rPr>
                <w:rFonts w:asciiTheme="minorHAnsi" w:eastAsiaTheme="minorEastAsia" w:hAnsiTheme="minorHAnsi" w:cstheme="minorBidi"/>
                <w:noProof/>
                <w:lang w:eastAsia="pt-BR"/>
              </w:rPr>
              <w:tab/>
            </w:r>
            <w:r w:rsidR="008C0AE8" w:rsidRPr="008C0AE8">
              <w:rPr>
                <w:rStyle w:val="Hyperlink"/>
                <w:noProof/>
              </w:rPr>
              <w:t>Segmento de Renda Fixa</w:t>
            </w:r>
            <w:r w:rsidR="008C0AE8" w:rsidRPr="008C0AE8">
              <w:rPr>
                <w:noProof/>
                <w:webHidden/>
              </w:rPr>
              <w:tab/>
            </w:r>
            <w:r w:rsidR="00A00E00">
              <w:rPr>
                <w:noProof/>
                <w:webHidden/>
              </w:rPr>
              <w:t>29</w:t>
            </w:r>
          </w:hyperlink>
        </w:p>
        <w:p w14:paraId="73F2B8D8" w14:textId="3E2703B9" w:rsidR="008C0AE8" w:rsidRPr="008C0AE8" w:rsidRDefault="00646678">
          <w:pPr>
            <w:pStyle w:val="Sumrio2"/>
            <w:tabs>
              <w:tab w:val="left" w:pos="1100"/>
              <w:tab w:val="right" w:leader="dot" w:pos="8494"/>
            </w:tabs>
            <w:rPr>
              <w:rFonts w:asciiTheme="minorHAnsi" w:eastAsiaTheme="minorEastAsia" w:hAnsiTheme="minorHAnsi" w:cstheme="minorBidi"/>
              <w:noProof/>
              <w:lang w:eastAsia="pt-BR"/>
            </w:rPr>
          </w:pPr>
          <w:hyperlink w:anchor="_Toc93910764" w:history="1">
            <w:r w:rsidR="008C0AE8" w:rsidRPr="008C0AE8">
              <w:rPr>
                <w:rStyle w:val="Hyperlink"/>
                <w:noProof/>
              </w:rPr>
              <w:t>15.2.</w:t>
            </w:r>
            <w:r w:rsidR="008C0AE8" w:rsidRPr="008C0AE8">
              <w:rPr>
                <w:rFonts w:asciiTheme="minorHAnsi" w:eastAsiaTheme="minorEastAsia" w:hAnsiTheme="minorHAnsi" w:cstheme="minorBidi"/>
                <w:noProof/>
                <w:lang w:eastAsia="pt-BR"/>
              </w:rPr>
              <w:tab/>
            </w:r>
            <w:r w:rsidR="008C0AE8" w:rsidRPr="008C0AE8">
              <w:rPr>
                <w:rStyle w:val="Hyperlink"/>
                <w:noProof/>
              </w:rPr>
              <w:t>Segmento de Renda Variável, Investimentos Estruturados e Fundos de Investimentos Imobiliários</w:t>
            </w:r>
            <w:r w:rsidR="008C0AE8" w:rsidRPr="008C0AE8">
              <w:rPr>
                <w:noProof/>
                <w:webHidden/>
              </w:rPr>
              <w:tab/>
            </w:r>
            <w:r w:rsidR="00A00E00">
              <w:rPr>
                <w:noProof/>
                <w:webHidden/>
              </w:rPr>
              <w:t>30</w:t>
            </w:r>
          </w:hyperlink>
        </w:p>
        <w:p w14:paraId="41AA3ED7" w14:textId="552EC8D8" w:rsidR="008C0AE8" w:rsidRPr="008C0AE8" w:rsidRDefault="00646678">
          <w:pPr>
            <w:pStyle w:val="Sumrio2"/>
            <w:tabs>
              <w:tab w:val="left" w:pos="1100"/>
              <w:tab w:val="right" w:leader="dot" w:pos="8494"/>
            </w:tabs>
            <w:rPr>
              <w:rFonts w:asciiTheme="minorHAnsi" w:eastAsiaTheme="minorEastAsia" w:hAnsiTheme="minorHAnsi" w:cstheme="minorBidi"/>
              <w:noProof/>
              <w:lang w:eastAsia="pt-BR"/>
            </w:rPr>
          </w:pPr>
          <w:hyperlink w:anchor="_Toc93910765" w:history="1">
            <w:r w:rsidR="008C0AE8" w:rsidRPr="008C0AE8">
              <w:rPr>
                <w:rStyle w:val="Hyperlink"/>
                <w:noProof/>
              </w:rPr>
              <w:t>15.3.</w:t>
            </w:r>
            <w:r w:rsidR="008C0AE8" w:rsidRPr="008C0AE8">
              <w:rPr>
                <w:rFonts w:asciiTheme="minorHAnsi" w:eastAsiaTheme="minorEastAsia" w:hAnsiTheme="minorHAnsi" w:cstheme="minorBidi"/>
                <w:noProof/>
                <w:lang w:eastAsia="pt-BR"/>
              </w:rPr>
              <w:tab/>
            </w:r>
            <w:r w:rsidR="008C0AE8" w:rsidRPr="008C0AE8">
              <w:rPr>
                <w:rStyle w:val="Hyperlink"/>
                <w:noProof/>
              </w:rPr>
              <w:t>Segmento de Investimentos no Exterior</w:t>
            </w:r>
            <w:r w:rsidR="008C0AE8" w:rsidRPr="008C0AE8">
              <w:rPr>
                <w:noProof/>
                <w:webHidden/>
              </w:rPr>
              <w:tab/>
            </w:r>
            <w:r w:rsidR="00A00E00">
              <w:rPr>
                <w:noProof/>
                <w:webHidden/>
              </w:rPr>
              <w:t>30</w:t>
            </w:r>
          </w:hyperlink>
        </w:p>
        <w:p w14:paraId="3B39880F" w14:textId="09041058" w:rsidR="008C0AE8" w:rsidRPr="008C0AE8" w:rsidRDefault="00646678">
          <w:pPr>
            <w:pStyle w:val="Sumrio2"/>
            <w:tabs>
              <w:tab w:val="left" w:pos="1100"/>
              <w:tab w:val="right" w:leader="dot" w:pos="8494"/>
            </w:tabs>
            <w:rPr>
              <w:rFonts w:asciiTheme="minorHAnsi" w:eastAsiaTheme="minorEastAsia" w:hAnsiTheme="minorHAnsi" w:cstheme="minorBidi"/>
              <w:noProof/>
              <w:lang w:eastAsia="pt-BR"/>
            </w:rPr>
          </w:pPr>
          <w:hyperlink w:anchor="_Toc93910766" w:history="1">
            <w:r w:rsidR="008C0AE8" w:rsidRPr="008C0AE8">
              <w:rPr>
                <w:rStyle w:val="Hyperlink"/>
                <w:noProof/>
              </w:rPr>
              <w:t>15.4.</w:t>
            </w:r>
            <w:r w:rsidR="008C0AE8" w:rsidRPr="008C0AE8">
              <w:rPr>
                <w:rFonts w:asciiTheme="minorHAnsi" w:eastAsiaTheme="minorEastAsia" w:hAnsiTheme="minorHAnsi" w:cstheme="minorBidi"/>
                <w:noProof/>
                <w:lang w:eastAsia="pt-BR"/>
              </w:rPr>
              <w:tab/>
            </w:r>
            <w:r w:rsidR="008C0AE8" w:rsidRPr="008C0AE8">
              <w:rPr>
                <w:rStyle w:val="Hyperlink"/>
                <w:noProof/>
              </w:rPr>
              <w:t>Empréstimo Consignado</w:t>
            </w:r>
            <w:r w:rsidR="008C0AE8" w:rsidRPr="008C0AE8">
              <w:rPr>
                <w:noProof/>
                <w:webHidden/>
              </w:rPr>
              <w:tab/>
            </w:r>
            <w:r w:rsidR="00A00E00">
              <w:rPr>
                <w:noProof/>
                <w:webHidden/>
              </w:rPr>
              <w:t>30</w:t>
            </w:r>
          </w:hyperlink>
        </w:p>
        <w:p w14:paraId="29258C01" w14:textId="5BF03A31" w:rsidR="008C0AE8" w:rsidRPr="008C0AE8" w:rsidRDefault="00646678">
          <w:pPr>
            <w:pStyle w:val="Sumrio2"/>
            <w:tabs>
              <w:tab w:val="left" w:pos="1100"/>
              <w:tab w:val="right" w:leader="dot" w:pos="8494"/>
            </w:tabs>
            <w:rPr>
              <w:rFonts w:asciiTheme="minorHAnsi" w:eastAsiaTheme="minorEastAsia" w:hAnsiTheme="minorHAnsi" w:cstheme="minorBidi"/>
              <w:noProof/>
              <w:lang w:eastAsia="pt-BR"/>
            </w:rPr>
          </w:pPr>
          <w:hyperlink w:anchor="_Toc93910767" w:history="1">
            <w:r w:rsidR="008C0AE8" w:rsidRPr="008C0AE8">
              <w:rPr>
                <w:rStyle w:val="Hyperlink"/>
                <w:rFonts w:eastAsia="Times New Roman"/>
                <w:noProof/>
              </w:rPr>
              <w:t>15.5.</w:t>
            </w:r>
            <w:r w:rsidR="008C0AE8" w:rsidRPr="008C0AE8">
              <w:rPr>
                <w:rFonts w:asciiTheme="minorHAnsi" w:eastAsiaTheme="minorEastAsia" w:hAnsiTheme="minorHAnsi" w:cstheme="minorBidi"/>
                <w:noProof/>
                <w:lang w:eastAsia="pt-BR"/>
              </w:rPr>
              <w:tab/>
            </w:r>
            <w:r w:rsidR="008C0AE8" w:rsidRPr="008C0AE8">
              <w:rPr>
                <w:rStyle w:val="Hyperlink"/>
                <w:noProof/>
              </w:rPr>
              <w:t>Limites Gerais</w:t>
            </w:r>
            <w:r w:rsidR="008C0AE8" w:rsidRPr="008C0AE8">
              <w:rPr>
                <w:noProof/>
                <w:webHidden/>
              </w:rPr>
              <w:tab/>
            </w:r>
            <w:r w:rsidR="00A00E00">
              <w:rPr>
                <w:noProof/>
                <w:webHidden/>
              </w:rPr>
              <w:t>31</w:t>
            </w:r>
          </w:hyperlink>
        </w:p>
        <w:p w14:paraId="2078D310" w14:textId="1C1B46CC" w:rsidR="008C0AE8" w:rsidRPr="008C0AE8" w:rsidRDefault="00646678">
          <w:pPr>
            <w:pStyle w:val="Sumrio2"/>
            <w:tabs>
              <w:tab w:val="left" w:pos="1100"/>
              <w:tab w:val="right" w:leader="dot" w:pos="8494"/>
            </w:tabs>
            <w:rPr>
              <w:rFonts w:asciiTheme="minorHAnsi" w:eastAsiaTheme="minorEastAsia" w:hAnsiTheme="minorHAnsi" w:cstheme="minorBidi"/>
              <w:noProof/>
              <w:lang w:eastAsia="pt-BR"/>
            </w:rPr>
          </w:pPr>
          <w:hyperlink w:anchor="_Toc93910768" w:history="1">
            <w:r w:rsidR="008C0AE8" w:rsidRPr="008C0AE8">
              <w:rPr>
                <w:rStyle w:val="Hyperlink"/>
                <w:noProof/>
              </w:rPr>
              <w:t>15.6.</w:t>
            </w:r>
            <w:r w:rsidR="008C0AE8" w:rsidRPr="008C0AE8">
              <w:rPr>
                <w:rFonts w:asciiTheme="minorHAnsi" w:eastAsiaTheme="minorEastAsia" w:hAnsiTheme="minorHAnsi" w:cstheme="minorBidi"/>
                <w:noProof/>
                <w:lang w:eastAsia="pt-BR"/>
              </w:rPr>
              <w:tab/>
            </w:r>
            <w:r w:rsidR="008C0AE8" w:rsidRPr="008C0AE8">
              <w:rPr>
                <w:rStyle w:val="Hyperlink"/>
                <w:noProof/>
              </w:rPr>
              <w:t>Demais Enquadramentos</w:t>
            </w:r>
            <w:r w:rsidR="008C0AE8" w:rsidRPr="008C0AE8">
              <w:rPr>
                <w:noProof/>
                <w:webHidden/>
              </w:rPr>
              <w:tab/>
            </w:r>
            <w:r w:rsidR="00A00E00">
              <w:rPr>
                <w:noProof/>
                <w:webHidden/>
              </w:rPr>
              <w:t>32</w:t>
            </w:r>
          </w:hyperlink>
        </w:p>
        <w:p w14:paraId="5645D857" w14:textId="0813E129" w:rsidR="008C0AE8" w:rsidRDefault="00646678">
          <w:pPr>
            <w:pStyle w:val="Sumrio1"/>
            <w:rPr>
              <w:rFonts w:asciiTheme="minorHAnsi" w:eastAsiaTheme="minorEastAsia" w:hAnsiTheme="minorHAnsi" w:cstheme="minorBidi"/>
              <w:noProof/>
              <w:lang w:eastAsia="pt-BR"/>
            </w:rPr>
          </w:pPr>
          <w:hyperlink w:anchor="_Toc93910769" w:history="1">
            <w:r w:rsidR="008C0AE8" w:rsidRPr="00603E9B">
              <w:rPr>
                <w:rStyle w:val="Hyperlink"/>
                <w:rFonts w:cs="Calibri"/>
                <w:bCs/>
                <w:noProof/>
              </w:rPr>
              <w:t>16.</w:t>
            </w:r>
            <w:r w:rsidR="008C0AE8">
              <w:rPr>
                <w:rFonts w:asciiTheme="minorHAnsi" w:eastAsiaTheme="minorEastAsia" w:hAnsiTheme="minorHAnsi" w:cstheme="minorBidi"/>
                <w:noProof/>
                <w:lang w:eastAsia="pt-BR"/>
              </w:rPr>
              <w:tab/>
            </w:r>
            <w:r w:rsidR="008C0AE8" w:rsidRPr="00603E9B">
              <w:rPr>
                <w:rStyle w:val="Hyperlink"/>
                <w:rFonts w:cs="Calibri"/>
                <w:bCs/>
                <w:noProof/>
              </w:rPr>
              <w:t>Política da Transparência</w:t>
            </w:r>
            <w:r w:rsidR="008C0AE8">
              <w:rPr>
                <w:noProof/>
                <w:webHidden/>
              </w:rPr>
              <w:tab/>
            </w:r>
            <w:r w:rsidR="008C0AE8">
              <w:rPr>
                <w:noProof/>
                <w:webHidden/>
              </w:rPr>
              <w:fldChar w:fldCharType="begin"/>
            </w:r>
            <w:r w:rsidR="008C0AE8">
              <w:rPr>
                <w:noProof/>
                <w:webHidden/>
              </w:rPr>
              <w:instrText xml:space="preserve"> PAGEREF _Toc93910769 \h </w:instrText>
            </w:r>
            <w:r w:rsidR="008C0AE8">
              <w:rPr>
                <w:noProof/>
                <w:webHidden/>
              </w:rPr>
            </w:r>
            <w:r w:rsidR="008C0AE8">
              <w:rPr>
                <w:noProof/>
                <w:webHidden/>
              </w:rPr>
              <w:fldChar w:fldCharType="separate"/>
            </w:r>
            <w:r w:rsidR="007E45D9">
              <w:rPr>
                <w:noProof/>
                <w:webHidden/>
              </w:rPr>
              <w:t>3</w:t>
            </w:r>
            <w:r w:rsidR="00A00E00">
              <w:rPr>
                <w:noProof/>
                <w:webHidden/>
              </w:rPr>
              <w:t>4</w:t>
            </w:r>
            <w:r w:rsidR="008C0AE8">
              <w:rPr>
                <w:noProof/>
                <w:webHidden/>
              </w:rPr>
              <w:fldChar w:fldCharType="end"/>
            </w:r>
          </w:hyperlink>
        </w:p>
        <w:p w14:paraId="50895F0A" w14:textId="3AC6B6B4" w:rsidR="008C0AE8" w:rsidRDefault="00646678">
          <w:pPr>
            <w:pStyle w:val="Sumrio1"/>
            <w:rPr>
              <w:rFonts w:asciiTheme="minorHAnsi" w:eastAsiaTheme="minorEastAsia" w:hAnsiTheme="minorHAnsi" w:cstheme="minorBidi"/>
              <w:noProof/>
              <w:lang w:eastAsia="pt-BR"/>
            </w:rPr>
          </w:pPr>
          <w:hyperlink w:anchor="_Toc93910770" w:history="1">
            <w:r w:rsidR="008C0AE8" w:rsidRPr="00603E9B">
              <w:rPr>
                <w:rStyle w:val="Hyperlink"/>
                <w:rFonts w:cs="Calibri"/>
                <w:bCs/>
                <w:noProof/>
              </w:rPr>
              <w:t>17.</w:t>
            </w:r>
            <w:r w:rsidR="008C0AE8">
              <w:rPr>
                <w:rFonts w:asciiTheme="minorHAnsi" w:eastAsiaTheme="minorEastAsia" w:hAnsiTheme="minorHAnsi" w:cstheme="minorBidi"/>
                <w:noProof/>
                <w:lang w:eastAsia="pt-BR"/>
              </w:rPr>
              <w:tab/>
            </w:r>
            <w:r w:rsidR="008C0AE8" w:rsidRPr="00603E9B">
              <w:rPr>
                <w:rStyle w:val="Hyperlink"/>
                <w:rFonts w:cs="Calibri"/>
                <w:bCs/>
                <w:noProof/>
              </w:rPr>
              <w:t>Plano de Contingência</w:t>
            </w:r>
            <w:r w:rsidR="008C0AE8">
              <w:rPr>
                <w:noProof/>
                <w:webHidden/>
              </w:rPr>
              <w:tab/>
            </w:r>
            <w:r w:rsidR="008C0AE8">
              <w:rPr>
                <w:noProof/>
                <w:webHidden/>
              </w:rPr>
              <w:fldChar w:fldCharType="begin"/>
            </w:r>
            <w:r w:rsidR="008C0AE8">
              <w:rPr>
                <w:noProof/>
                <w:webHidden/>
              </w:rPr>
              <w:instrText xml:space="preserve"> PAGEREF _Toc93910770 \h </w:instrText>
            </w:r>
            <w:r w:rsidR="008C0AE8">
              <w:rPr>
                <w:noProof/>
                <w:webHidden/>
              </w:rPr>
            </w:r>
            <w:r w:rsidR="008C0AE8">
              <w:rPr>
                <w:noProof/>
                <w:webHidden/>
              </w:rPr>
              <w:fldChar w:fldCharType="separate"/>
            </w:r>
            <w:r w:rsidR="007E45D9">
              <w:rPr>
                <w:noProof/>
                <w:webHidden/>
              </w:rPr>
              <w:t>3</w:t>
            </w:r>
            <w:r w:rsidR="00A00E00">
              <w:rPr>
                <w:noProof/>
                <w:webHidden/>
              </w:rPr>
              <w:t>5</w:t>
            </w:r>
            <w:r w:rsidR="008C0AE8">
              <w:rPr>
                <w:noProof/>
                <w:webHidden/>
              </w:rPr>
              <w:fldChar w:fldCharType="end"/>
            </w:r>
          </w:hyperlink>
        </w:p>
        <w:p w14:paraId="410FEFE1" w14:textId="33D3609D" w:rsidR="008C0AE8" w:rsidRDefault="00646678">
          <w:pPr>
            <w:pStyle w:val="Sumrio1"/>
            <w:rPr>
              <w:rFonts w:asciiTheme="minorHAnsi" w:eastAsiaTheme="minorEastAsia" w:hAnsiTheme="minorHAnsi" w:cstheme="minorBidi"/>
              <w:noProof/>
              <w:lang w:eastAsia="pt-BR"/>
            </w:rPr>
          </w:pPr>
          <w:hyperlink w:anchor="_Toc93910771" w:history="1">
            <w:r w:rsidR="008C0AE8" w:rsidRPr="00603E9B">
              <w:rPr>
                <w:rStyle w:val="Hyperlink"/>
                <w:rFonts w:cs="Calibri"/>
                <w:bCs/>
                <w:noProof/>
              </w:rPr>
              <w:t>18.</w:t>
            </w:r>
            <w:r w:rsidR="008C0AE8">
              <w:rPr>
                <w:rFonts w:asciiTheme="minorHAnsi" w:eastAsiaTheme="minorEastAsia" w:hAnsiTheme="minorHAnsi" w:cstheme="minorBidi"/>
                <w:noProof/>
                <w:lang w:eastAsia="pt-BR"/>
              </w:rPr>
              <w:tab/>
            </w:r>
            <w:r w:rsidR="008C0AE8" w:rsidRPr="00603E9B">
              <w:rPr>
                <w:rStyle w:val="Hyperlink"/>
                <w:rFonts w:cs="Calibri"/>
                <w:bCs/>
                <w:noProof/>
              </w:rPr>
              <w:t>Vedações</w:t>
            </w:r>
            <w:r w:rsidR="008C0AE8">
              <w:rPr>
                <w:noProof/>
                <w:webHidden/>
              </w:rPr>
              <w:tab/>
            </w:r>
            <w:r w:rsidR="008C0AE8">
              <w:rPr>
                <w:noProof/>
                <w:webHidden/>
              </w:rPr>
              <w:fldChar w:fldCharType="begin"/>
            </w:r>
            <w:r w:rsidR="008C0AE8">
              <w:rPr>
                <w:noProof/>
                <w:webHidden/>
              </w:rPr>
              <w:instrText xml:space="preserve"> PAGEREF _Toc93910771 \h </w:instrText>
            </w:r>
            <w:r w:rsidR="008C0AE8">
              <w:rPr>
                <w:noProof/>
                <w:webHidden/>
              </w:rPr>
            </w:r>
            <w:r w:rsidR="008C0AE8">
              <w:rPr>
                <w:noProof/>
                <w:webHidden/>
              </w:rPr>
              <w:fldChar w:fldCharType="separate"/>
            </w:r>
            <w:r w:rsidR="007E45D9">
              <w:rPr>
                <w:noProof/>
                <w:webHidden/>
              </w:rPr>
              <w:t>3</w:t>
            </w:r>
            <w:r w:rsidR="00A00E00">
              <w:rPr>
                <w:noProof/>
                <w:webHidden/>
              </w:rPr>
              <w:t>5</w:t>
            </w:r>
            <w:r w:rsidR="008C0AE8">
              <w:rPr>
                <w:noProof/>
                <w:webHidden/>
              </w:rPr>
              <w:fldChar w:fldCharType="end"/>
            </w:r>
          </w:hyperlink>
        </w:p>
        <w:p w14:paraId="1B725E23" w14:textId="150A7631" w:rsidR="008C0AE8" w:rsidRDefault="00646678">
          <w:pPr>
            <w:pStyle w:val="Sumrio1"/>
            <w:rPr>
              <w:rFonts w:asciiTheme="minorHAnsi" w:eastAsiaTheme="minorEastAsia" w:hAnsiTheme="minorHAnsi" w:cstheme="minorBidi"/>
              <w:noProof/>
              <w:lang w:eastAsia="pt-BR"/>
            </w:rPr>
          </w:pPr>
          <w:hyperlink w:anchor="_Toc93910772" w:history="1">
            <w:r w:rsidR="008C0AE8" w:rsidRPr="00603E9B">
              <w:rPr>
                <w:rStyle w:val="Hyperlink"/>
                <w:rFonts w:cstheme="minorHAnsi"/>
                <w:bCs/>
                <w:noProof/>
                <w:lang w:eastAsia="pt-BR"/>
              </w:rPr>
              <w:t>19.</w:t>
            </w:r>
            <w:r w:rsidR="008C0AE8">
              <w:rPr>
                <w:rFonts w:asciiTheme="minorHAnsi" w:eastAsiaTheme="minorEastAsia" w:hAnsiTheme="minorHAnsi" w:cstheme="minorBidi"/>
                <w:noProof/>
                <w:lang w:eastAsia="pt-BR"/>
              </w:rPr>
              <w:tab/>
            </w:r>
            <w:r w:rsidR="008C0AE8" w:rsidRPr="00603E9B">
              <w:rPr>
                <w:rStyle w:val="Hyperlink"/>
                <w:rFonts w:cstheme="minorHAnsi"/>
                <w:noProof/>
                <w:lang w:eastAsia="pt-BR"/>
              </w:rPr>
              <w:t>Disposições Gerais</w:t>
            </w:r>
            <w:r w:rsidR="008C0AE8">
              <w:rPr>
                <w:noProof/>
                <w:webHidden/>
              </w:rPr>
              <w:tab/>
            </w:r>
            <w:r w:rsidR="008C0AE8">
              <w:rPr>
                <w:noProof/>
                <w:webHidden/>
              </w:rPr>
              <w:fldChar w:fldCharType="begin"/>
            </w:r>
            <w:r w:rsidR="008C0AE8">
              <w:rPr>
                <w:noProof/>
                <w:webHidden/>
              </w:rPr>
              <w:instrText xml:space="preserve"> PAGEREF _Toc93910772 \h </w:instrText>
            </w:r>
            <w:r w:rsidR="008C0AE8">
              <w:rPr>
                <w:noProof/>
                <w:webHidden/>
              </w:rPr>
            </w:r>
            <w:r w:rsidR="008C0AE8">
              <w:rPr>
                <w:noProof/>
                <w:webHidden/>
              </w:rPr>
              <w:fldChar w:fldCharType="separate"/>
            </w:r>
            <w:r w:rsidR="007E45D9">
              <w:rPr>
                <w:noProof/>
                <w:webHidden/>
              </w:rPr>
              <w:t>3</w:t>
            </w:r>
            <w:r w:rsidR="005042C1">
              <w:rPr>
                <w:noProof/>
                <w:webHidden/>
              </w:rPr>
              <w:t>5</w:t>
            </w:r>
            <w:r w:rsidR="008C0AE8">
              <w:rPr>
                <w:noProof/>
                <w:webHidden/>
              </w:rPr>
              <w:fldChar w:fldCharType="end"/>
            </w:r>
          </w:hyperlink>
        </w:p>
        <w:p w14:paraId="042E96C3" w14:textId="557090FF" w:rsidR="002503FF" w:rsidRPr="00845202" w:rsidRDefault="00246D19" w:rsidP="00845202">
          <w:pPr>
            <w:rPr>
              <w:b/>
              <w:bCs/>
            </w:rPr>
          </w:pPr>
          <w:r w:rsidRPr="00951A07">
            <w:rPr>
              <w:b/>
              <w:bCs/>
              <w:sz w:val="20"/>
              <w:szCs w:val="20"/>
            </w:rPr>
            <w:lastRenderedPageBreak/>
            <w:fldChar w:fldCharType="end"/>
          </w:r>
        </w:p>
      </w:sdtContent>
    </w:sdt>
    <w:p w14:paraId="6B5FF480" w14:textId="34032DB5" w:rsidR="003B1E4B" w:rsidRPr="008B02D4" w:rsidRDefault="009F3E56" w:rsidP="000C3790">
      <w:pPr>
        <w:pStyle w:val="Ttulo1"/>
        <w:numPr>
          <w:ilvl w:val="0"/>
          <w:numId w:val="4"/>
        </w:numPr>
        <w:spacing w:before="120" w:after="120" w:line="240" w:lineRule="auto"/>
        <w:jc w:val="both"/>
        <w:rPr>
          <w:rFonts w:ascii="Arial" w:hAnsi="Arial" w:cs="Arial"/>
          <w:szCs w:val="24"/>
          <w:lang w:eastAsia="pt-BR"/>
        </w:rPr>
      </w:pPr>
      <w:bookmarkStart w:id="0" w:name="_Toc93910743"/>
      <w:r w:rsidRPr="008B02D4">
        <w:rPr>
          <w:rFonts w:ascii="Arial" w:hAnsi="Arial" w:cs="Arial"/>
          <w:szCs w:val="24"/>
          <w:lang w:eastAsia="pt-BR"/>
        </w:rPr>
        <w:t>Introdução</w:t>
      </w:r>
      <w:bookmarkEnd w:id="0"/>
    </w:p>
    <w:p w14:paraId="15898567" w14:textId="77777777" w:rsidR="009F3E56" w:rsidRPr="008B02D4" w:rsidRDefault="009F3E56" w:rsidP="000C3790">
      <w:pPr>
        <w:pStyle w:val="PargrafodaLista"/>
        <w:autoSpaceDE w:val="0"/>
        <w:autoSpaceDN w:val="0"/>
        <w:adjustRightInd w:val="0"/>
        <w:spacing w:before="120" w:after="120" w:line="240" w:lineRule="auto"/>
        <w:ind w:left="720"/>
        <w:jc w:val="both"/>
        <w:rPr>
          <w:rFonts w:ascii="Arial" w:hAnsi="Arial" w:cs="Arial"/>
          <w:sz w:val="24"/>
          <w:szCs w:val="24"/>
          <w:lang w:eastAsia="pt-BR"/>
        </w:rPr>
      </w:pPr>
    </w:p>
    <w:p w14:paraId="0519FF80" w14:textId="6C00432F" w:rsidR="005253C4" w:rsidRDefault="005253C4" w:rsidP="00B03275">
      <w:pPr>
        <w:autoSpaceDE w:val="0"/>
        <w:autoSpaceDN w:val="0"/>
        <w:adjustRightInd w:val="0"/>
        <w:spacing w:after="0" w:line="360" w:lineRule="auto"/>
        <w:ind w:right="-568" w:firstLine="851"/>
        <w:jc w:val="both"/>
        <w:rPr>
          <w:rFonts w:asciiTheme="minorHAnsi" w:hAnsiTheme="minorHAnsi" w:cstheme="minorHAnsi"/>
          <w:sz w:val="24"/>
          <w:szCs w:val="24"/>
        </w:rPr>
      </w:pPr>
      <w:r w:rsidRPr="008B02D4">
        <w:rPr>
          <w:rFonts w:asciiTheme="minorHAnsi" w:hAnsiTheme="minorHAnsi" w:cstheme="minorHAnsi"/>
          <w:sz w:val="24"/>
          <w:szCs w:val="24"/>
          <w:lang w:eastAsia="pt-BR"/>
        </w:rPr>
        <w:t>Atendendo à Resolução do Conselho Monetário Nacional - CMN nº 4.963</w:t>
      </w:r>
      <w:r w:rsidR="008F08BD" w:rsidRPr="008B02D4">
        <w:rPr>
          <w:rFonts w:asciiTheme="minorHAnsi" w:hAnsiTheme="minorHAnsi" w:cstheme="minorHAnsi"/>
          <w:sz w:val="24"/>
          <w:szCs w:val="24"/>
        </w:rPr>
        <w:t>, de 25 de novembro de 2021,</w:t>
      </w:r>
      <w:r w:rsidR="00ED0CF6">
        <w:rPr>
          <w:rFonts w:asciiTheme="minorHAnsi" w:hAnsiTheme="minorHAnsi" w:cstheme="minorHAnsi"/>
          <w:sz w:val="24"/>
          <w:szCs w:val="24"/>
        </w:rPr>
        <w:t xml:space="preserve"> bem como Portaria MTPS 1.467 de 02 de junho de 2022.</w:t>
      </w:r>
      <w:r w:rsidR="008F08BD" w:rsidRPr="008B02D4">
        <w:rPr>
          <w:rFonts w:asciiTheme="minorHAnsi" w:hAnsiTheme="minorHAnsi" w:cstheme="minorHAnsi"/>
          <w:sz w:val="24"/>
          <w:szCs w:val="24"/>
        </w:rPr>
        <w:t xml:space="preserve"> </w:t>
      </w:r>
      <w:r w:rsidR="00ED0CF6" w:rsidRPr="00ED0CF6">
        <w:rPr>
          <w:rFonts w:asciiTheme="minorHAnsi" w:hAnsiTheme="minorHAnsi" w:cstheme="minorHAnsi"/>
          <w:sz w:val="24"/>
          <w:szCs w:val="24"/>
        </w:rPr>
        <w:t>O presente documento objetiva estabelecer as diretrizes e linhas gerais de</w:t>
      </w:r>
      <w:r w:rsidR="00ED0CF6">
        <w:rPr>
          <w:rFonts w:asciiTheme="minorHAnsi" w:hAnsiTheme="minorHAnsi" w:cstheme="minorHAnsi"/>
          <w:sz w:val="24"/>
          <w:szCs w:val="24"/>
        </w:rPr>
        <w:t xml:space="preserve"> </w:t>
      </w:r>
      <w:r w:rsidR="00ED0CF6" w:rsidRPr="00ED0CF6">
        <w:rPr>
          <w:rFonts w:asciiTheme="minorHAnsi" w:hAnsiTheme="minorHAnsi" w:cstheme="minorHAnsi"/>
          <w:sz w:val="24"/>
          <w:szCs w:val="24"/>
        </w:rPr>
        <w:t>procedimentos, que nortearão os investimentos do RPPS ‐ Regime Próprio de Previdência</w:t>
      </w:r>
      <w:r w:rsidR="00ED0CF6">
        <w:rPr>
          <w:rFonts w:asciiTheme="minorHAnsi" w:hAnsiTheme="minorHAnsi" w:cstheme="minorHAnsi"/>
          <w:sz w:val="24"/>
          <w:szCs w:val="24"/>
        </w:rPr>
        <w:t xml:space="preserve"> </w:t>
      </w:r>
      <w:r w:rsidR="00ED0CF6" w:rsidRPr="00ED0CF6">
        <w:rPr>
          <w:rFonts w:asciiTheme="minorHAnsi" w:hAnsiTheme="minorHAnsi" w:cstheme="minorHAnsi"/>
          <w:sz w:val="24"/>
          <w:szCs w:val="24"/>
        </w:rPr>
        <w:t xml:space="preserve">do Município de </w:t>
      </w:r>
      <w:r w:rsidR="00976582">
        <w:rPr>
          <w:rFonts w:asciiTheme="minorHAnsi" w:hAnsiTheme="minorHAnsi" w:cstheme="minorHAnsi"/>
          <w:sz w:val="24"/>
          <w:szCs w:val="24"/>
        </w:rPr>
        <w:t>Governador Jorge Teixeira</w:t>
      </w:r>
      <w:r w:rsidR="00ED0CF6" w:rsidRPr="00ED0CF6">
        <w:rPr>
          <w:rFonts w:asciiTheme="minorHAnsi" w:hAnsiTheme="minorHAnsi" w:cstheme="minorHAnsi"/>
          <w:sz w:val="24"/>
          <w:szCs w:val="24"/>
        </w:rPr>
        <w:t>, com foco no cumprimento da</w:t>
      </w:r>
      <w:r w:rsidR="00ED0CF6">
        <w:rPr>
          <w:rFonts w:asciiTheme="minorHAnsi" w:hAnsiTheme="minorHAnsi" w:cstheme="minorHAnsi"/>
          <w:sz w:val="24"/>
          <w:szCs w:val="24"/>
        </w:rPr>
        <w:t xml:space="preserve"> </w:t>
      </w:r>
      <w:r w:rsidR="00ED0CF6" w:rsidRPr="00ED0CF6">
        <w:rPr>
          <w:rFonts w:asciiTheme="minorHAnsi" w:hAnsiTheme="minorHAnsi" w:cstheme="minorHAnsi"/>
          <w:sz w:val="24"/>
          <w:szCs w:val="24"/>
        </w:rPr>
        <w:t>Meta Atuarial, definida para o ano de 202</w:t>
      </w:r>
      <w:r w:rsidR="00ED0CF6">
        <w:rPr>
          <w:rFonts w:asciiTheme="minorHAnsi" w:hAnsiTheme="minorHAnsi" w:cstheme="minorHAnsi"/>
          <w:sz w:val="24"/>
          <w:szCs w:val="24"/>
        </w:rPr>
        <w:t>4</w:t>
      </w:r>
      <w:r w:rsidR="00ED0CF6" w:rsidRPr="00ED0CF6">
        <w:rPr>
          <w:rFonts w:asciiTheme="minorHAnsi" w:hAnsiTheme="minorHAnsi" w:cstheme="minorHAnsi"/>
          <w:sz w:val="24"/>
          <w:szCs w:val="24"/>
        </w:rPr>
        <w:t>, tendo em consideração o cenário</w:t>
      </w:r>
      <w:r w:rsidR="00ED0CF6">
        <w:rPr>
          <w:rFonts w:asciiTheme="minorHAnsi" w:hAnsiTheme="minorHAnsi" w:cstheme="minorHAnsi"/>
          <w:sz w:val="24"/>
          <w:szCs w:val="24"/>
        </w:rPr>
        <w:t xml:space="preserve"> </w:t>
      </w:r>
      <w:r w:rsidR="00ED0CF6" w:rsidRPr="00ED0CF6">
        <w:rPr>
          <w:rFonts w:asciiTheme="minorHAnsi" w:hAnsiTheme="minorHAnsi" w:cstheme="minorHAnsi"/>
          <w:sz w:val="24"/>
          <w:szCs w:val="24"/>
        </w:rPr>
        <w:t>macroeconômico esperado</w:t>
      </w:r>
      <w:r w:rsidR="00B10783">
        <w:rPr>
          <w:rFonts w:asciiTheme="minorHAnsi" w:hAnsiTheme="minorHAnsi" w:cstheme="minorHAnsi"/>
          <w:sz w:val="24"/>
          <w:szCs w:val="24"/>
        </w:rPr>
        <w:t>.</w:t>
      </w:r>
    </w:p>
    <w:p w14:paraId="4A34CACD" w14:textId="25B32760" w:rsidR="00ED0CF6" w:rsidRPr="008B02D4" w:rsidRDefault="00264ECA" w:rsidP="00B03275">
      <w:pPr>
        <w:autoSpaceDE w:val="0"/>
        <w:autoSpaceDN w:val="0"/>
        <w:adjustRightInd w:val="0"/>
        <w:spacing w:after="0" w:line="360" w:lineRule="auto"/>
        <w:ind w:right="-568" w:firstLine="851"/>
        <w:jc w:val="both"/>
        <w:rPr>
          <w:rFonts w:asciiTheme="minorHAnsi" w:hAnsiTheme="minorHAnsi" w:cstheme="minorHAnsi"/>
          <w:sz w:val="24"/>
          <w:szCs w:val="24"/>
        </w:rPr>
      </w:pPr>
      <w:r w:rsidRPr="00264ECA">
        <w:rPr>
          <w:rFonts w:asciiTheme="minorHAnsi" w:hAnsiTheme="minorHAnsi" w:cstheme="minorHAnsi"/>
          <w:sz w:val="24"/>
          <w:szCs w:val="24"/>
        </w:rPr>
        <w:t>O Artigo 4 da Resolução CMN 4.963 de 26 de novembro de 2021, estabelece que os</w:t>
      </w:r>
      <w:r>
        <w:rPr>
          <w:rFonts w:asciiTheme="minorHAnsi" w:hAnsiTheme="minorHAnsi" w:cstheme="minorHAnsi"/>
          <w:sz w:val="24"/>
          <w:szCs w:val="24"/>
        </w:rPr>
        <w:t xml:space="preserve"> </w:t>
      </w:r>
      <w:r w:rsidRPr="00264ECA">
        <w:rPr>
          <w:rFonts w:asciiTheme="minorHAnsi" w:hAnsiTheme="minorHAnsi" w:cstheme="minorHAnsi"/>
          <w:sz w:val="24"/>
          <w:szCs w:val="24"/>
        </w:rPr>
        <w:t xml:space="preserve">responsáveis pela gestão dos RPPS, </w:t>
      </w:r>
      <w:r w:rsidRPr="00264ECA">
        <w:rPr>
          <w:rFonts w:asciiTheme="minorHAnsi" w:hAnsiTheme="minorHAnsi" w:cstheme="minorHAnsi"/>
          <w:b/>
          <w:bCs/>
          <w:sz w:val="24"/>
          <w:szCs w:val="24"/>
        </w:rPr>
        <w:t>antes do exercício a que se referir</w:t>
      </w:r>
      <w:r w:rsidRPr="00264ECA">
        <w:rPr>
          <w:rFonts w:asciiTheme="minorHAnsi" w:hAnsiTheme="minorHAnsi" w:cstheme="minorHAnsi"/>
          <w:sz w:val="24"/>
          <w:szCs w:val="24"/>
        </w:rPr>
        <w:t>, deverão definir a</w:t>
      </w:r>
      <w:r>
        <w:rPr>
          <w:rFonts w:asciiTheme="minorHAnsi" w:hAnsiTheme="minorHAnsi" w:cstheme="minorHAnsi"/>
          <w:sz w:val="24"/>
          <w:szCs w:val="24"/>
        </w:rPr>
        <w:t xml:space="preserve"> </w:t>
      </w:r>
      <w:r w:rsidRPr="00264ECA">
        <w:rPr>
          <w:rFonts w:asciiTheme="minorHAnsi" w:hAnsiTheme="minorHAnsi" w:cstheme="minorHAnsi"/>
          <w:sz w:val="24"/>
          <w:szCs w:val="24"/>
        </w:rPr>
        <w:t xml:space="preserve">Política Anual de Aplicação dos Recursos </w:t>
      </w:r>
      <w:r w:rsidRPr="00264ECA">
        <w:rPr>
          <w:rFonts w:asciiTheme="minorHAnsi" w:hAnsiTheme="minorHAnsi" w:cstheme="minorHAnsi"/>
          <w:b/>
          <w:bCs/>
          <w:sz w:val="24"/>
          <w:szCs w:val="24"/>
        </w:rPr>
        <w:t>(PAI ‐ Política Anual de Investimentos)</w:t>
      </w:r>
      <w:r>
        <w:rPr>
          <w:rFonts w:asciiTheme="minorHAnsi" w:hAnsiTheme="minorHAnsi" w:cstheme="minorHAnsi"/>
          <w:b/>
          <w:bCs/>
          <w:sz w:val="24"/>
          <w:szCs w:val="24"/>
        </w:rPr>
        <w:t>.</w:t>
      </w:r>
    </w:p>
    <w:p w14:paraId="0EACE584" w14:textId="0D0C4B80" w:rsidR="00361D81" w:rsidRPr="008B02D4" w:rsidRDefault="005253C4"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A Política de Investimento é o documento que estabelece as diretrizes</w:t>
      </w:r>
      <w:r w:rsidR="00361D81" w:rsidRPr="008B02D4">
        <w:rPr>
          <w:rFonts w:asciiTheme="minorHAnsi" w:hAnsiTheme="minorHAnsi" w:cstheme="minorHAnsi"/>
          <w:sz w:val="24"/>
          <w:szCs w:val="24"/>
          <w:lang w:eastAsia="pt-BR"/>
        </w:rPr>
        <w:t xml:space="preserve"> que devem reger os investimentos dos recursos conferidos a entidade, com vistas a promover a segurança, liquidez e rentabilidade necessária para complementar o equilíbrio entre os ativos e passivos do plano de Benefícios.</w:t>
      </w:r>
    </w:p>
    <w:p w14:paraId="25CA9713" w14:textId="142FA60B" w:rsidR="00854ED8" w:rsidRPr="008B02D4" w:rsidRDefault="00854ED8"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O </w:t>
      </w:r>
      <w:r w:rsidR="005E27F7" w:rsidRPr="008B02D4">
        <w:rPr>
          <w:rFonts w:asciiTheme="minorHAnsi" w:hAnsiTheme="minorHAnsi" w:cstheme="minorHAnsi"/>
          <w:sz w:val="24"/>
          <w:szCs w:val="24"/>
          <w:lang w:eastAsia="pt-BR"/>
        </w:rPr>
        <w:t>RPPS</w:t>
      </w:r>
      <w:r w:rsidRPr="008B02D4">
        <w:rPr>
          <w:rFonts w:asciiTheme="minorHAnsi" w:hAnsiTheme="minorHAnsi" w:cstheme="minorHAnsi"/>
          <w:sz w:val="24"/>
          <w:szCs w:val="24"/>
          <w:lang w:eastAsia="pt-BR"/>
        </w:rPr>
        <w:t>, tem como compromisso fundamental a adoção d</w:t>
      </w:r>
      <w:r w:rsidR="00E56869" w:rsidRPr="008B02D4">
        <w:rPr>
          <w:rFonts w:asciiTheme="minorHAnsi" w:hAnsiTheme="minorHAnsi" w:cstheme="minorHAnsi"/>
          <w:sz w:val="24"/>
          <w:szCs w:val="24"/>
          <w:lang w:eastAsia="pt-BR"/>
        </w:rPr>
        <w:t>o princípio das</w:t>
      </w:r>
      <w:r w:rsidRPr="008B02D4">
        <w:rPr>
          <w:rFonts w:asciiTheme="minorHAnsi" w:hAnsiTheme="minorHAnsi" w:cstheme="minorHAnsi"/>
          <w:sz w:val="24"/>
          <w:szCs w:val="24"/>
          <w:lang w:eastAsia="pt-BR"/>
        </w:rPr>
        <w:t xml:space="preserve"> boas práticas</w:t>
      </w:r>
      <w:r w:rsidR="00E56869" w:rsidRPr="008B02D4">
        <w:rPr>
          <w:rFonts w:asciiTheme="minorHAnsi" w:hAnsiTheme="minorHAnsi" w:cstheme="minorHAnsi"/>
          <w:sz w:val="24"/>
          <w:szCs w:val="24"/>
          <w:lang w:eastAsia="pt-BR"/>
        </w:rPr>
        <w:t>,</w:t>
      </w:r>
      <w:r w:rsidRPr="008B02D4">
        <w:rPr>
          <w:rFonts w:asciiTheme="minorHAnsi" w:hAnsiTheme="minorHAnsi" w:cstheme="minorHAnsi"/>
          <w:sz w:val="24"/>
          <w:szCs w:val="24"/>
          <w:lang w:eastAsia="pt-BR"/>
        </w:rPr>
        <w:t xml:space="preserve"> norteadas pela competência técnica e na prática dos princípios éticos na gestão dos recursos.</w:t>
      </w:r>
    </w:p>
    <w:p w14:paraId="64CB8D19" w14:textId="2E47C43F" w:rsidR="00854ED8" w:rsidRPr="008B02D4" w:rsidRDefault="00854ED8"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Estes princípios</w:t>
      </w:r>
      <w:r w:rsidR="00E56869" w:rsidRPr="008B02D4">
        <w:rPr>
          <w:rFonts w:asciiTheme="minorHAnsi" w:hAnsiTheme="minorHAnsi" w:cstheme="minorHAnsi"/>
          <w:sz w:val="24"/>
          <w:szCs w:val="24"/>
          <w:lang w:eastAsia="pt-BR"/>
        </w:rPr>
        <w:t xml:space="preserve"> </w:t>
      </w:r>
      <w:r w:rsidRPr="008B02D4">
        <w:rPr>
          <w:rFonts w:asciiTheme="minorHAnsi" w:hAnsiTheme="minorHAnsi" w:cstheme="minorHAnsi"/>
          <w:sz w:val="24"/>
          <w:szCs w:val="24"/>
          <w:lang w:eastAsia="pt-BR"/>
        </w:rPr>
        <w:t xml:space="preserve">são pilares para todo o processo de </w:t>
      </w:r>
      <w:r w:rsidR="005E27F7" w:rsidRPr="008B02D4">
        <w:rPr>
          <w:rFonts w:asciiTheme="minorHAnsi" w:hAnsiTheme="minorHAnsi" w:cstheme="minorHAnsi"/>
          <w:sz w:val="24"/>
          <w:szCs w:val="24"/>
          <w:lang w:eastAsia="pt-BR"/>
        </w:rPr>
        <w:t xml:space="preserve">tomada de </w:t>
      </w:r>
      <w:r w:rsidRPr="008B02D4">
        <w:rPr>
          <w:rFonts w:asciiTheme="minorHAnsi" w:hAnsiTheme="minorHAnsi" w:cstheme="minorHAnsi"/>
          <w:sz w:val="24"/>
          <w:szCs w:val="24"/>
          <w:lang w:eastAsia="pt-BR"/>
        </w:rPr>
        <w:t>decisão</w:t>
      </w:r>
      <w:r w:rsidR="00E56869" w:rsidRPr="008B02D4">
        <w:rPr>
          <w:rFonts w:asciiTheme="minorHAnsi" w:hAnsiTheme="minorHAnsi" w:cstheme="minorHAnsi"/>
          <w:sz w:val="24"/>
          <w:szCs w:val="24"/>
          <w:lang w:eastAsia="pt-BR"/>
        </w:rPr>
        <w:t>,</w:t>
      </w:r>
      <w:r w:rsidRPr="008B02D4">
        <w:rPr>
          <w:rFonts w:asciiTheme="minorHAnsi" w:hAnsiTheme="minorHAnsi" w:cstheme="minorHAnsi"/>
          <w:sz w:val="24"/>
          <w:szCs w:val="24"/>
          <w:lang w:eastAsia="pt-BR"/>
        </w:rPr>
        <w:t xml:space="preserve"> </w:t>
      </w:r>
      <w:r w:rsidR="009C780C" w:rsidRPr="008B02D4">
        <w:rPr>
          <w:rFonts w:asciiTheme="minorHAnsi" w:hAnsiTheme="minorHAnsi" w:cstheme="minorHAnsi"/>
          <w:sz w:val="24"/>
          <w:szCs w:val="24"/>
          <w:lang w:eastAsia="pt-BR"/>
        </w:rPr>
        <w:t xml:space="preserve">garantindo suas obrigações, </w:t>
      </w:r>
      <w:r w:rsidRPr="008B02D4">
        <w:rPr>
          <w:rFonts w:asciiTheme="minorHAnsi" w:hAnsiTheme="minorHAnsi" w:cstheme="minorHAnsi"/>
          <w:sz w:val="24"/>
          <w:szCs w:val="24"/>
          <w:lang w:eastAsia="pt-BR"/>
        </w:rPr>
        <w:t>sendo referência no controle, balizamento, maximização dos resultados e da rentabilidade, mitigação de riscos e transparência na</w:t>
      </w:r>
      <w:r w:rsidR="00712B57" w:rsidRPr="008B02D4">
        <w:rPr>
          <w:rFonts w:asciiTheme="minorHAnsi" w:hAnsiTheme="minorHAnsi" w:cstheme="minorHAnsi"/>
          <w:sz w:val="24"/>
          <w:szCs w:val="24"/>
          <w:lang w:eastAsia="pt-BR"/>
        </w:rPr>
        <w:t xml:space="preserve"> gestão de recursos</w:t>
      </w:r>
      <w:r w:rsidR="009C780C" w:rsidRPr="008B02D4">
        <w:rPr>
          <w:rFonts w:asciiTheme="minorHAnsi" w:hAnsiTheme="minorHAnsi" w:cstheme="minorHAnsi"/>
          <w:sz w:val="24"/>
          <w:szCs w:val="24"/>
          <w:lang w:eastAsia="pt-BR"/>
        </w:rPr>
        <w:t>.</w:t>
      </w:r>
    </w:p>
    <w:p w14:paraId="3A42DC50" w14:textId="56A2580F" w:rsidR="009A2CDD" w:rsidRPr="008B02D4" w:rsidRDefault="003602EF" w:rsidP="00B10783">
      <w:pPr>
        <w:pStyle w:val="Ttulo1"/>
        <w:numPr>
          <w:ilvl w:val="0"/>
          <w:numId w:val="4"/>
        </w:numPr>
        <w:spacing w:before="120" w:after="120" w:line="240" w:lineRule="auto"/>
        <w:ind w:left="0" w:right="-568" w:firstLine="851"/>
        <w:jc w:val="both"/>
        <w:rPr>
          <w:rFonts w:asciiTheme="minorHAnsi" w:hAnsiTheme="minorHAnsi" w:cstheme="minorHAnsi"/>
          <w:szCs w:val="24"/>
          <w:lang w:eastAsia="pt-BR"/>
        </w:rPr>
      </w:pPr>
      <w:bookmarkStart w:id="1" w:name="_Toc93910744"/>
      <w:r w:rsidRPr="008B02D4">
        <w:rPr>
          <w:rFonts w:asciiTheme="minorHAnsi" w:hAnsiTheme="minorHAnsi" w:cstheme="minorHAnsi"/>
          <w:szCs w:val="24"/>
          <w:lang w:eastAsia="pt-BR"/>
        </w:rPr>
        <w:t>Conselho Administrativo</w:t>
      </w:r>
      <w:bookmarkEnd w:id="1"/>
    </w:p>
    <w:p w14:paraId="7CCEE300" w14:textId="77777777" w:rsidR="00D5474A" w:rsidRPr="008B02D4" w:rsidRDefault="00D5474A" w:rsidP="00B03275">
      <w:pPr>
        <w:autoSpaceDE w:val="0"/>
        <w:autoSpaceDN w:val="0"/>
        <w:adjustRightInd w:val="0"/>
        <w:spacing w:after="0" w:line="360" w:lineRule="auto"/>
        <w:ind w:right="-568" w:firstLine="851"/>
        <w:jc w:val="both"/>
        <w:rPr>
          <w:rFonts w:asciiTheme="minorHAnsi" w:hAnsiTheme="minorHAnsi" w:cstheme="minorHAnsi"/>
          <w:sz w:val="24"/>
          <w:szCs w:val="24"/>
          <w:highlight w:val="yellow"/>
        </w:rPr>
      </w:pPr>
    </w:p>
    <w:p w14:paraId="60ECB4B6" w14:textId="0243DCA4" w:rsidR="009A2CDD" w:rsidRPr="008B02D4" w:rsidRDefault="003602EF"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rPr>
        <w:t xml:space="preserve">De acordo com a Lei </w:t>
      </w:r>
      <w:r w:rsidR="00976582">
        <w:rPr>
          <w:rFonts w:asciiTheme="minorHAnsi" w:hAnsiTheme="minorHAnsi" w:cstheme="minorHAnsi"/>
          <w:sz w:val="24"/>
          <w:szCs w:val="24"/>
        </w:rPr>
        <w:t xml:space="preserve">Municipal Complementar </w:t>
      </w:r>
      <w:r w:rsidRPr="008B02D4">
        <w:rPr>
          <w:rFonts w:asciiTheme="minorHAnsi" w:hAnsiTheme="minorHAnsi" w:cstheme="minorHAnsi"/>
          <w:sz w:val="24"/>
          <w:szCs w:val="24"/>
        </w:rPr>
        <w:t>n°</w:t>
      </w:r>
      <w:r w:rsidR="00976582">
        <w:rPr>
          <w:rFonts w:asciiTheme="minorHAnsi" w:hAnsiTheme="minorHAnsi" w:cstheme="minorHAnsi"/>
          <w:sz w:val="24"/>
          <w:szCs w:val="24"/>
        </w:rPr>
        <w:t>. 025/2022</w:t>
      </w:r>
      <w:r w:rsidRPr="008B02D4">
        <w:rPr>
          <w:rFonts w:asciiTheme="minorHAnsi" w:hAnsiTheme="minorHAnsi" w:cstheme="minorHAnsi"/>
          <w:sz w:val="24"/>
          <w:szCs w:val="24"/>
          <w:lang w:eastAsia="pt-BR"/>
        </w:rPr>
        <w:t xml:space="preserve">, artigo </w:t>
      </w:r>
      <w:r w:rsidR="00976582">
        <w:rPr>
          <w:rFonts w:asciiTheme="minorHAnsi" w:hAnsiTheme="minorHAnsi" w:cstheme="minorHAnsi"/>
          <w:sz w:val="24"/>
          <w:szCs w:val="24"/>
          <w:lang w:eastAsia="pt-BR"/>
        </w:rPr>
        <w:t>61</w:t>
      </w:r>
      <w:r w:rsidRPr="008B02D4">
        <w:rPr>
          <w:rFonts w:asciiTheme="minorHAnsi" w:hAnsiTheme="minorHAnsi" w:cstheme="minorHAnsi"/>
          <w:sz w:val="24"/>
          <w:szCs w:val="24"/>
          <w:lang w:eastAsia="pt-BR"/>
        </w:rPr>
        <w:t xml:space="preserve">, </w:t>
      </w:r>
      <w:r w:rsidRPr="008B02D4">
        <w:rPr>
          <w:rFonts w:asciiTheme="minorHAnsi" w:hAnsiTheme="minorHAnsi" w:cstheme="minorHAnsi"/>
          <w:sz w:val="24"/>
          <w:szCs w:val="24"/>
        </w:rPr>
        <w:t xml:space="preserve">o conselho tem mandato de </w:t>
      </w:r>
      <w:r w:rsidR="00976582">
        <w:rPr>
          <w:rFonts w:asciiTheme="minorHAnsi" w:hAnsiTheme="minorHAnsi" w:cstheme="minorHAnsi"/>
          <w:sz w:val="24"/>
          <w:szCs w:val="24"/>
          <w:lang w:eastAsia="pt-BR"/>
        </w:rPr>
        <w:t xml:space="preserve">03 (três) </w:t>
      </w:r>
      <w:r w:rsidRPr="008B02D4">
        <w:rPr>
          <w:rFonts w:asciiTheme="minorHAnsi" w:hAnsiTheme="minorHAnsi" w:cstheme="minorHAnsi"/>
          <w:sz w:val="24"/>
          <w:szCs w:val="24"/>
        </w:rPr>
        <w:t xml:space="preserve">anos e é composto por </w:t>
      </w:r>
      <w:r w:rsidR="00976582">
        <w:rPr>
          <w:rFonts w:asciiTheme="minorHAnsi" w:hAnsiTheme="minorHAnsi" w:cstheme="minorHAnsi"/>
          <w:sz w:val="24"/>
          <w:szCs w:val="24"/>
          <w:lang w:eastAsia="pt-BR"/>
        </w:rPr>
        <w:t>05 (cinco) Membros, sendo: 02</w:t>
      </w:r>
      <w:r w:rsidR="005F7A23">
        <w:rPr>
          <w:rFonts w:asciiTheme="minorHAnsi" w:hAnsiTheme="minorHAnsi" w:cstheme="minorHAnsi"/>
          <w:sz w:val="24"/>
          <w:szCs w:val="24"/>
          <w:lang w:eastAsia="pt-BR"/>
        </w:rPr>
        <w:t xml:space="preserve"> (dois</w:t>
      </w:r>
      <w:r w:rsidR="00976582">
        <w:rPr>
          <w:rFonts w:asciiTheme="minorHAnsi" w:hAnsiTheme="minorHAnsi" w:cstheme="minorHAnsi"/>
          <w:sz w:val="24"/>
          <w:szCs w:val="24"/>
          <w:lang w:eastAsia="pt-BR"/>
        </w:rPr>
        <w:t xml:space="preserve"> representantes do Poder Executivo, 01 (um) </w:t>
      </w:r>
      <w:r w:rsidR="005F7A23">
        <w:rPr>
          <w:rFonts w:asciiTheme="minorHAnsi" w:hAnsiTheme="minorHAnsi" w:cstheme="minorHAnsi"/>
          <w:sz w:val="24"/>
          <w:szCs w:val="24"/>
          <w:lang w:eastAsia="pt-BR"/>
        </w:rPr>
        <w:t xml:space="preserve">representante </w:t>
      </w:r>
      <w:r w:rsidR="00976582">
        <w:rPr>
          <w:rFonts w:asciiTheme="minorHAnsi" w:hAnsiTheme="minorHAnsi" w:cstheme="minorHAnsi"/>
          <w:sz w:val="24"/>
          <w:szCs w:val="24"/>
          <w:lang w:eastAsia="pt-BR"/>
        </w:rPr>
        <w:t>do Poder Legislativo, 02 (dois)</w:t>
      </w:r>
      <w:r w:rsidR="005F7A23">
        <w:rPr>
          <w:rFonts w:asciiTheme="minorHAnsi" w:hAnsiTheme="minorHAnsi" w:cstheme="minorHAnsi"/>
          <w:sz w:val="24"/>
          <w:szCs w:val="24"/>
          <w:lang w:eastAsia="pt-BR"/>
        </w:rPr>
        <w:t xml:space="preserve">, </w:t>
      </w:r>
      <w:r w:rsidR="005F7A23">
        <w:rPr>
          <w:rFonts w:asciiTheme="minorHAnsi" w:hAnsiTheme="minorHAnsi" w:cstheme="minorHAnsi"/>
          <w:sz w:val="24"/>
          <w:szCs w:val="24"/>
          <w:lang w:eastAsia="pt-BR"/>
        </w:rPr>
        <w:lastRenderedPageBreak/>
        <w:t>representante do servidores indicado pelo sindicato e 01 (um) representante dos ativos e inativos do GJTPREVI</w:t>
      </w:r>
      <w:r w:rsidRPr="008B02D4">
        <w:rPr>
          <w:rFonts w:asciiTheme="minorHAnsi" w:hAnsiTheme="minorHAnsi" w:cstheme="minorHAnsi"/>
          <w:sz w:val="24"/>
          <w:szCs w:val="24"/>
          <w:lang w:eastAsia="pt-BR"/>
        </w:rPr>
        <w:t>.</w:t>
      </w:r>
    </w:p>
    <w:p w14:paraId="53787BFC" w14:textId="21DA58C3" w:rsidR="00BE5A1E" w:rsidRPr="005A1ABB" w:rsidRDefault="003602EF"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Sendo competência </w:t>
      </w:r>
      <w:r w:rsidR="00966D37" w:rsidRPr="008B02D4">
        <w:rPr>
          <w:rFonts w:asciiTheme="minorHAnsi" w:hAnsiTheme="minorHAnsi" w:cstheme="minorHAnsi"/>
          <w:sz w:val="24"/>
          <w:szCs w:val="24"/>
          <w:lang w:eastAsia="pt-BR"/>
        </w:rPr>
        <w:t>do</w:t>
      </w:r>
      <w:r w:rsidRPr="008B02D4">
        <w:rPr>
          <w:rFonts w:asciiTheme="minorHAnsi" w:hAnsiTheme="minorHAnsi" w:cstheme="minorHAnsi"/>
          <w:sz w:val="24"/>
          <w:szCs w:val="24"/>
          <w:lang w:eastAsia="pt-BR"/>
        </w:rPr>
        <w:t xml:space="preserve"> </w:t>
      </w:r>
      <w:r w:rsidR="00E70181" w:rsidRPr="008B02D4">
        <w:rPr>
          <w:rFonts w:asciiTheme="minorHAnsi" w:hAnsiTheme="minorHAnsi" w:cstheme="minorHAnsi"/>
          <w:sz w:val="24"/>
          <w:szCs w:val="24"/>
          <w:lang w:eastAsia="pt-BR"/>
        </w:rPr>
        <w:t>C</w:t>
      </w:r>
      <w:r w:rsidRPr="008B02D4">
        <w:rPr>
          <w:rFonts w:asciiTheme="minorHAnsi" w:hAnsiTheme="minorHAnsi" w:cstheme="minorHAnsi"/>
          <w:sz w:val="24"/>
          <w:szCs w:val="24"/>
          <w:lang w:eastAsia="pt-BR"/>
        </w:rPr>
        <w:t xml:space="preserve">onselho </w:t>
      </w:r>
      <w:r w:rsidR="002D17EB" w:rsidRPr="00976582">
        <w:rPr>
          <w:rFonts w:asciiTheme="minorHAnsi" w:hAnsiTheme="minorHAnsi" w:cstheme="minorHAnsi"/>
          <w:sz w:val="24"/>
          <w:szCs w:val="24"/>
          <w:lang w:eastAsia="pt-BR"/>
        </w:rPr>
        <w:t>Deliberativo</w:t>
      </w:r>
      <w:r w:rsidRPr="008B02D4">
        <w:rPr>
          <w:rFonts w:asciiTheme="minorHAnsi" w:hAnsiTheme="minorHAnsi" w:cstheme="minorHAnsi"/>
          <w:sz w:val="24"/>
          <w:szCs w:val="24"/>
          <w:lang w:eastAsia="pt-BR"/>
        </w:rPr>
        <w:t xml:space="preserve"> </w:t>
      </w:r>
      <w:r w:rsidR="002D17EB">
        <w:rPr>
          <w:rFonts w:asciiTheme="minorHAnsi" w:hAnsiTheme="minorHAnsi" w:cstheme="minorHAnsi"/>
          <w:sz w:val="24"/>
          <w:szCs w:val="24"/>
          <w:lang w:eastAsia="pt-BR"/>
        </w:rPr>
        <w:t>aprovar</w:t>
      </w:r>
      <w:r w:rsidRPr="008B02D4">
        <w:rPr>
          <w:rFonts w:asciiTheme="minorHAnsi" w:hAnsiTheme="minorHAnsi" w:cstheme="minorHAnsi"/>
          <w:sz w:val="24"/>
          <w:szCs w:val="24"/>
          <w:lang w:eastAsia="pt-BR"/>
        </w:rPr>
        <w:t xml:space="preserve"> os objetivos, diretrizes e </w:t>
      </w:r>
      <w:r w:rsidR="00E70181" w:rsidRPr="008B02D4">
        <w:rPr>
          <w:rFonts w:asciiTheme="minorHAnsi" w:hAnsiTheme="minorHAnsi" w:cstheme="minorHAnsi"/>
          <w:sz w:val="24"/>
          <w:szCs w:val="24"/>
          <w:lang w:eastAsia="pt-BR"/>
        </w:rPr>
        <w:t>preceitos</w:t>
      </w:r>
      <w:r w:rsidRPr="008B02D4">
        <w:rPr>
          <w:rFonts w:asciiTheme="minorHAnsi" w:hAnsiTheme="minorHAnsi" w:cstheme="minorHAnsi"/>
          <w:sz w:val="24"/>
          <w:szCs w:val="24"/>
          <w:lang w:eastAsia="pt-BR"/>
        </w:rPr>
        <w:t xml:space="preserve"> da </w:t>
      </w:r>
      <w:r w:rsidR="00E70181" w:rsidRPr="008B02D4">
        <w:rPr>
          <w:rFonts w:asciiTheme="minorHAnsi" w:hAnsiTheme="minorHAnsi" w:cstheme="minorHAnsi"/>
          <w:sz w:val="24"/>
          <w:szCs w:val="24"/>
          <w:lang w:eastAsia="pt-BR"/>
        </w:rPr>
        <w:t>política</w:t>
      </w:r>
      <w:r w:rsidRPr="008B02D4">
        <w:rPr>
          <w:rFonts w:asciiTheme="minorHAnsi" w:hAnsiTheme="minorHAnsi" w:cstheme="minorHAnsi"/>
          <w:sz w:val="24"/>
          <w:szCs w:val="24"/>
          <w:lang w:eastAsia="pt-BR"/>
        </w:rPr>
        <w:t xml:space="preserve"> de gestão </w:t>
      </w:r>
      <w:r w:rsidR="00E70181" w:rsidRPr="008B02D4">
        <w:rPr>
          <w:rFonts w:asciiTheme="minorHAnsi" w:hAnsiTheme="minorHAnsi" w:cstheme="minorHAnsi"/>
          <w:sz w:val="24"/>
          <w:szCs w:val="24"/>
          <w:lang w:eastAsia="pt-BR"/>
        </w:rPr>
        <w:t>dos recursos</w:t>
      </w:r>
      <w:r w:rsidRPr="008B02D4">
        <w:rPr>
          <w:rFonts w:asciiTheme="minorHAnsi" w:hAnsiTheme="minorHAnsi" w:cstheme="minorHAnsi"/>
          <w:sz w:val="24"/>
          <w:szCs w:val="24"/>
          <w:lang w:eastAsia="pt-BR"/>
        </w:rPr>
        <w:t xml:space="preserve">, bem como </w:t>
      </w:r>
      <w:r w:rsidR="00E70181" w:rsidRPr="008B02D4">
        <w:rPr>
          <w:rFonts w:asciiTheme="minorHAnsi" w:hAnsiTheme="minorHAnsi" w:cstheme="minorHAnsi"/>
          <w:sz w:val="24"/>
          <w:szCs w:val="24"/>
          <w:lang w:eastAsia="pt-BR"/>
        </w:rPr>
        <w:t>decidir</w:t>
      </w:r>
      <w:r w:rsidRPr="008B02D4">
        <w:rPr>
          <w:rFonts w:asciiTheme="minorHAnsi" w:hAnsiTheme="minorHAnsi" w:cstheme="minorHAnsi"/>
          <w:sz w:val="24"/>
          <w:szCs w:val="24"/>
          <w:lang w:eastAsia="pt-BR"/>
        </w:rPr>
        <w:t xml:space="preserve"> sobre a </w:t>
      </w:r>
      <w:r w:rsidR="00E70181" w:rsidRPr="008B02D4">
        <w:rPr>
          <w:rFonts w:asciiTheme="minorHAnsi" w:hAnsiTheme="minorHAnsi" w:cstheme="minorHAnsi"/>
          <w:sz w:val="24"/>
          <w:szCs w:val="24"/>
          <w:lang w:eastAsia="pt-BR"/>
        </w:rPr>
        <w:t>política</w:t>
      </w:r>
      <w:r w:rsidRPr="008B02D4">
        <w:rPr>
          <w:rFonts w:asciiTheme="minorHAnsi" w:hAnsiTheme="minorHAnsi" w:cstheme="minorHAnsi"/>
          <w:sz w:val="24"/>
          <w:szCs w:val="24"/>
          <w:lang w:eastAsia="pt-BR"/>
        </w:rPr>
        <w:t xml:space="preserve"> anual de investimento do RPPS</w:t>
      </w:r>
      <w:r w:rsidR="005F7A23">
        <w:rPr>
          <w:rFonts w:asciiTheme="minorHAnsi" w:hAnsiTheme="minorHAnsi" w:cstheme="minorHAnsi"/>
          <w:sz w:val="24"/>
          <w:szCs w:val="24"/>
          <w:lang w:eastAsia="pt-BR"/>
        </w:rPr>
        <w:t xml:space="preserve">, conforme Artigo 62 </w:t>
      </w:r>
      <w:r w:rsidR="005F7A23" w:rsidRPr="008B02D4">
        <w:rPr>
          <w:rFonts w:asciiTheme="minorHAnsi" w:hAnsiTheme="minorHAnsi" w:cstheme="minorHAnsi"/>
          <w:sz w:val="24"/>
          <w:szCs w:val="24"/>
        </w:rPr>
        <w:t xml:space="preserve">Lei </w:t>
      </w:r>
      <w:r w:rsidR="005F7A23">
        <w:rPr>
          <w:rFonts w:asciiTheme="minorHAnsi" w:hAnsiTheme="minorHAnsi" w:cstheme="minorHAnsi"/>
          <w:sz w:val="24"/>
          <w:szCs w:val="24"/>
        </w:rPr>
        <w:t xml:space="preserve">Municipal Complementar </w:t>
      </w:r>
      <w:r w:rsidR="005F7A23" w:rsidRPr="008B02D4">
        <w:rPr>
          <w:rFonts w:asciiTheme="minorHAnsi" w:hAnsiTheme="minorHAnsi" w:cstheme="minorHAnsi"/>
          <w:sz w:val="24"/>
          <w:szCs w:val="24"/>
        </w:rPr>
        <w:t>n°</w:t>
      </w:r>
      <w:r w:rsidR="005F7A23">
        <w:rPr>
          <w:rFonts w:asciiTheme="minorHAnsi" w:hAnsiTheme="minorHAnsi" w:cstheme="minorHAnsi"/>
          <w:sz w:val="24"/>
          <w:szCs w:val="24"/>
        </w:rPr>
        <w:t>. 025/2022</w:t>
      </w:r>
      <w:r w:rsidRPr="008B02D4">
        <w:rPr>
          <w:rFonts w:asciiTheme="minorHAnsi" w:hAnsiTheme="minorHAnsi" w:cstheme="minorHAnsi"/>
          <w:sz w:val="24"/>
          <w:szCs w:val="24"/>
          <w:lang w:eastAsia="pt-BR"/>
        </w:rPr>
        <w:t>.</w:t>
      </w:r>
    </w:p>
    <w:p w14:paraId="73DD8CA5" w14:textId="0CBB2879" w:rsidR="009A2CDD" w:rsidRPr="008B02D4" w:rsidRDefault="00651304" w:rsidP="00B10783">
      <w:pPr>
        <w:pStyle w:val="Ttulo1"/>
        <w:numPr>
          <w:ilvl w:val="0"/>
          <w:numId w:val="4"/>
        </w:numPr>
        <w:spacing w:before="120" w:after="120" w:line="240" w:lineRule="auto"/>
        <w:ind w:left="0" w:right="-568" w:firstLine="851"/>
        <w:jc w:val="both"/>
        <w:rPr>
          <w:rFonts w:asciiTheme="minorHAnsi" w:hAnsiTheme="minorHAnsi" w:cstheme="minorHAnsi"/>
          <w:szCs w:val="24"/>
          <w:lang w:eastAsia="pt-BR"/>
        </w:rPr>
      </w:pPr>
      <w:bookmarkStart w:id="2" w:name="_Toc93910745"/>
      <w:r w:rsidRPr="008B02D4">
        <w:rPr>
          <w:rFonts w:asciiTheme="minorHAnsi" w:hAnsiTheme="minorHAnsi" w:cstheme="minorHAnsi"/>
          <w:szCs w:val="24"/>
          <w:lang w:eastAsia="pt-BR"/>
        </w:rPr>
        <w:t>Perfil do Investidor</w:t>
      </w:r>
      <w:bookmarkEnd w:id="2"/>
    </w:p>
    <w:p w14:paraId="79D36AAE" w14:textId="77777777" w:rsidR="0032589D" w:rsidRPr="008B02D4" w:rsidRDefault="0032589D"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2FCD70B1" w14:textId="24EACE87" w:rsidR="0032589D" w:rsidRPr="008B02D4" w:rsidRDefault="0032589D"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A Instrução CVM n° 554/2014 e Portaria 1</w:t>
      </w:r>
      <w:r w:rsidR="00C56750" w:rsidRPr="008B02D4">
        <w:rPr>
          <w:rFonts w:asciiTheme="minorHAnsi" w:hAnsiTheme="minorHAnsi" w:cstheme="minorHAnsi"/>
          <w:sz w:val="24"/>
          <w:szCs w:val="24"/>
          <w:lang w:eastAsia="pt-BR"/>
        </w:rPr>
        <w:t>.</w:t>
      </w:r>
      <w:r w:rsidRPr="008B02D4">
        <w:rPr>
          <w:rFonts w:asciiTheme="minorHAnsi" w:hAnsiTheme="minorHAnsi" w:cstheme="minorHAnsi"/>
          <w:sz w:val="24"/>
          <w:szCs w:val="24"/>
          <w:lang w:eastAsia="pt-BR"/>
        </w:rPr>
        <w:t>467</w:t>
      </w:r>
      <w:r w:rsidR="00C14592" w:rsidRPr="008B02D4">
        <w:rPr>
          <w:rFonts w:asciiTheme="minorHAnsi" w:hAnsiTheme="minorHAnsi" w:cstheme="minorHAnsi"/>
          <w:sz w:val="24"/>
          <w:szCs w:val="24"/>
          <w:lang w:eastAsia="pt-BR"/>
        </w:rPr>
        <w:t xml:space="preserve">/2022 </w:t>
      </w:r>
      <w:r w:rsidRPr="008B02D4">
        <w:rPr>
          <w:rFonts w:asciiTheme="minorHAnsi" w:hAnsiTheme="minorHAnsi" w:cstheme="minorHAnsi"/>
          <w:sz w:val="24"/>
          <w:szCs w:val="24"/>
          <w:lang w:eastAsia="pt-BR"/>
        </w:rPr>
        <w:t xml:space="preserve">e alterações, define que os Regimes Próprios de Previdência Social serão classificados como Investidores Qualificados </w:t>
      </w:r>
      <w:r w:rsidR="00C14592" w:rsidRPr="008B02D4">
        <w:rPr>
          <w:rFonts w:asciiTheme="minorHAnsi" w:hAnsiTheme="minorHAnsi" w:cstheme="minorHAnsi"/>
          <w:sz w:val="24"/>
          <w:szCs w:val="24"/>
          <w:lang w:eastAsia="pt-BR"/>
        </w:rPr>
        <w:t xml:space="preserve">ou Profissional </w:t>
      </w:r>
      <w:r w:rsidRPr="008B02D4">
        <w:rPr>
          <w:rFonts w:asciiTheme="minorHAnsi" w:hAnsiTheme="minorHAnsi" w:cstheme="minorHAnsi"/>
          <w:sz w:val="24"/>
          <w:szCs w:val="24"/>
          <w:lang w:eastAsia="pt-BR"/>
        </w:rPr>
        <w:t xml:space="preserve">se apresentarem cumulativamente: </w:t>
      </w:r>
    </w:p>
    <w:p w14:paraId="15332E59" w14:textId="4299E3E4" w:rsidR="0032589D" w:rsidRPr="008B02D4" w:rsidRDefault="0032589D"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24C8785F" w14:textId="2804D1C3" w:rsidR="00C14592" w:rsidRPr="00896F29" w:rsidRDefault="00C14592" w:rsidP="00B10783">
      <w:pPr>
        <w:pStyle w:val="PargrafodaLista"/>
        <w:numPr>
          <w:ilvl w:val="0"/>
          <w:numId w:val="31"/>
        </w:numPr>
        <w:autoSpaceDE w:val="0"/>
        <w:autoSpaceDN w:val="0"/>
        <w:adjustRightInd w:val="0"/>
        <w:spacing w:after="0" w:line="360" w:lineRule="auto"/>
        <w:ind w:left="0" w:right="-568" w:firstLine="851"/>
        <w:jc w:val="both"/>
        <w:rPr>
          <w:rFonts w:asciiTheme="minorHAnsi" w:hAnsiTheme="minorHAnsi" w:cstheme="minorHAnsi"/>
          <w:b/>
          <w:bCs/>
          <w:sz w:val="24"/>
          <w:szCs w:val="24"/>
          <w:lang w:eastAsia="pt-BR"/>
        </w:rPr>
      </w:pPr>
      <w:r w:rsidRPr="00896F29">
        <w:rPr>
          <w:rFonts w:asciiTheme="minorHAnsi" w:hAnsiTheme="minorHAnsi" w:cstheme="minorHAnsi"/>
          <w:b/>
          <w:bCs/>
          <w:sz w:val="24"/>
          <w:szCs w:val="24"/>
          <w:lang w:eastAsia="pt-BR"/>
        </w:rPr>
        <w:t>Qualificado:</w:t>
      </w:r>
    </w:p>
    <w:p w14:paraId="426A2871" w14:textId="77777777" w:rsidR="00C14592" w:rsidRPr="008B02D4" w:rsidRDefault="0032589D" w:rsidP="00B03275">
      <w:pPr>
        <w:autoSpaceDE w:val="0"/>
        <w:autoSpaceDN w:val="0"/>
        <w:adjustRightInd w:val="0"/>
        <w:spacing w:after="0" w:line="360" w:lineRule="auto"/>
        <w:ind w:left="709"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I - possua recursos aplicados, informados no DAIR do mês imediatamente anterior à data de realização de cada aplicação</w:t>
      </w:r>
    </w:p>
    <w:p w14:paraId="74780A2E" w14:textId="77777777" w:rsidR="00C14592" w:rsidRPr="008B02D4" w:rsidRDefault="00C14592" w:rsidP="00B03275">
      <w:pPr>
        <w:autoSpaceDE w:val="0"/>
        <w:autoSpaceDN w:val="0"/>
        <w:adjustRightInd w:val="0"/>
        <w:spacing w:after="0" w:line="360" w:lineRule="auto"/>
        <w:ind w:left="709"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II - </w:t>
      </w:r>
      <w:r w:rsidR="0032589D" w:rsidRPr="008B02D4">
        <w:rPr>
          <w:rFonts w:asciiTheme="minorHAnsi" w:hAnsiTheme="minorHAnsi" w:cstheme="minorHAnsi"/>
          <w:sz w:val="24"/>
          <w:szCs w:val="24"/>
          <w:lang w:eastAsia="pt-BR"/>
        </w:rPr>
        <w:t xml:space="preserve">montante igual ou superior a R$ 10.000.000,00 (dez milhões de reais); </w:t>
      </w:r>
    </w:p>
    <w:p w14:paraId="2EB3C88C" w14:textId="77777777" w:rsidR="00C14592" w:rsidRPr="008B02D4" w:rsidRDefault="00C14592" w:rsidP="00B03275">
      <w:pPr>
        <w:autoSpaceDE w:val="0"/>
        <w:autoSpaceDN w:val="0"/>
        <w:adjustRightInd w:val="0"/>
        <w:spacing w:after="0" w:line="360" w:lineRule="auto"/>
        <w:ind w:left="709"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I</w:t>
      </w:r>
      <w:r w:rsidR="0032589D" w:rsidRPr="008B02D4">
        <w:rPr>
          <w:rFonts w:asciiTheme="minorHAnsi" w:hAnsiTheme="minorHAnsi" w:cstheme="minorHAnsi"/>
          <w:sz w:val="24"/>
          <w:szCs w:val="24"/>
          <w:lang w:eastAsia="pt-BR"/>
        </w:rPr>
        <w:t xml:space="preserve">II - tenha aderido ao Pró-Gestão RPPS, e obtido certificação institucional em um dos níveis de aderência nele estabelecidos. </w:t>
      </w:r>
    </w:p>
    <w:p w14:paraId="1957F519" w14:textId="77777777" w:rsidR="00C14592" w:rsidRPr="008B02D4" w:rsidRDefault="00C14592"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454CBB7E" w14:textId="77777777" w:rsidR="00C14592" w:rsidRPr="00896F29" w:rsidRDefault="00C14592" w:rsidP="00B10783">
      <w:pPr>
        <w:pStyle w:val="PargrafodaLista"/>
        <w:numPr>
          <w:ilvl w:val="0"/>
          <w:numId w:val="31"/>
        </w:numPr>
        <w:autoSpaceDE w:val="0"/>
        <w:autoSpaceDN w:val="0"/>
        <w:adjustRightInd w:val="0"/>
        <w:spacing w:after="0" w:line="360" w:lineRule="auto"/>
        <w:ind w:left="0" w:right="-568" w:firstLine="851"/>
        <w:jc w:val="both"/>
        <w:rPr>
          <w:rFonts w:asciiTheme="minorHAnsi" w:hAnsiTheme="minorHAnsi" w:cstheme="minorHAnsi"/>
          <w:b/>
          <w:bCs/>
          <w:sz w:val="24"/>
          <w:szCs w:val="24"/>
          <w:lang w:eastAsia="pt-BR"/>
        </w:rPr>
      </w:pPr>
      <w:r w:rsidRPr="00896F29">
        <w:rPr>
          <w:rFonts w:asciiTheme="minorHAnsi" w:hAnsiTheme="minorHAnsi" w:cstheme="minorHAnsi"/>
          <w:b/>
          <w:bCs/>
          <w:sz w:val="24"/>
          <w:szCs w:val="24"/>
          <w:lang w:eastAsia="pt-BR"/>
        </w:rPr>
        <w:t>P</w:t>
      </w:r>
      <w:r w:rsidR="0032589D" w:rsidRPr="00896F29">
        <w:rPr>
          <w:rFonts w:asciiTheme="minorHAnsi" w:hAnsiTheme="minorHAnsi" w:cstheme="minorHAnsi"/>
          <w:b/>
          <w:bCs/>
          <w:sz w:val="24"/>
          <w:szCs w:val="24"/>
          <w:lang w:eastAsia="pt-BR"/>
        </w:rPr>
        <w:t>rofissional</w:t>
      </w:r>
      <w:r w:rsidRPr="00896F29">
        <w:rPr>
          <w:rFonts w:asciiTheme="minorHAnsi" w:hAnsiTheme="minorHAnsi" w:cstheme="minorHAnsi"/>
          <w:b/>
          <w:bCs/>
          <w:sz w:val="24"/>
          <w:szCs w:val="24"/>
          <w:lang w:eastAsia="pt-BR"/>
        </w:rPr>
        <w:t>:</w:t>
      </w:r>
    </w:p>
    <w:p w14:paraId="694FFFFE" w14:textId="08B42D38" w:rsidR="00C14592" w:rsidRPr="008B02D4" w:rsidRDefault="0032589D" w:rsidP="00B03275">
      <w:pPr>
        <w:autoSpaceDE w:val="0"/>
        <w:autoSpaceDN w:val="0"/>
        <w:adjustRightInd w:val="0"/>
        <w:spacing w:after="0" w:line="360" w:lineRule="auto"/>
        <w:ind w:left="709"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I -</w:t>
      </w:r>
      <w:r w:rsidR="00C14592" w:rsidRPr="008B02D4">
        <w:rPr>
          <w:rFonts w:asciiTheme="minorHAnsi" w:hAnsiTheme="minorHAnsi" w:cstheme="minorHAnsi"/>
          <w:sz w:val="24"/>
          <w:szCs w:val="24"/>
          <w:lang w:eastAsia="pt-BR"/>
        </w:rPr>
        <w:t xml:space="preserve"> </w:t>
      </w:r>
      <w:r w:rsidRPr="008B02D4">
        <w:rPr>
          <w:rFonts w:asciiTheme="minorHAnsi" w:hAnsiTheme="minorHAnsi" w:cstheme="minorHAnsi"/>
          <w:sz w:val="24"/>
          <w:szCs w:val="24"/>
          <w:lang w:eastAsia="pt-BR"/>
        </w:rPr>
        <w:t xml:space="preserve">possua recursos aplicados, informados no DAIR relativo ao mês imediatamente anterior à data de realização de cada aplicação </w:t>
      </w:r>
    </w:p>
    <w:p w14:paraId="1D3A9788" w14:textId="77777777" w:rsidR="00C14592" w:rsidRPr="008B02D4" w:rsidRDefault="00C14592" w:rsidP="00B03275">
      <w:pPr>
        <w:autoSpaceDE w:val="0"/>
        <w:autoSpaceDN w:val="0"/>
        <w:adjustRightInd w:val="0"/>
        <w:spacing w:after="0" w:line="360" w:lineRule="auto"/>
        <w:ind w:left="709"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II - </w:t>
      </w:r>
      <w:r w:rsidR="0032589D" w:rsidRPr="008B02D4">
        <w:rPr>
          <w:rFonts w:asciiTheme="minorHAnsi" w:hAnsiTheme="minorHAnsi" w:cstheme="minorHAnsi"/>
          <w:sz w:val="24"/>
          <w:szCs w:val="24"/>
          <w:lang w:eastAsia="pt-BR"/>
        </w:rPr>
        <w:t xml:space="preserve">montante igual ou superior a R$ 500.000.000,00 (quinhentos milhões de reais); </w:t>
      </w:r>
    </w:p>
    <w:p w14:paraId="112A993A" w14:textId="6BD4060F" w:rsidR="0032589D" w:rsidRPr="008B02D4" w:rsidRDefault="00C14592" w:rsidP="00B03275">
      <w:pPr>
        <w:autoSpaceDE w:val="0"/>
        <w:autoSpaceDN w:val="0"/>
        <w:adjustRightInd w:val="0"/>
        <w:spacing w:after="0" w:line="360" w:lineRule="auto"/>
        <w:ind w:left="709"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I</w:t>
      </w:r>
      <w:r w:rsidR="0032589D" w:rsidRPr="008B02D4">
        <w:rPr>
          <w:rFonts w:asciiTheme="minorHAnsi" w:hAnsiTheme="minorHAnsi" w:cstheme="minorHAnsi"/>
          <w:sz w:val="24"/>
          <w:szCs w:val="24"/>
          <w:lang w:eastAsia="pt-BR"/>
        </w:rPr>
        <w:t>II - tenha aderido ao Pró-Gestão RPPS e obtido certificação institucional no quarto nível de aderência nele estabelecido.</w:t>
      </w:r>
    </w:p>
    <w:p w14:paraId="26EAC5BA" w14:textId="5C5E2F1B" w:rsidR="00151B69" w:rsidRPr="008B02D4" w:rsidRDefault="00151B6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5B7B7851" w14:textId="77777777" w:rsidR="00C14592" w:rsidRPr="008B02D4" w:rsidRDefault="00C14592"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A classificação de RPPS como investidor qualificado ou profissional somente produzirá efeitos quando atendidos todos os requisitos descritos acima.  Sendo vedada a </w:t>
      </w:r>
      <w:r w:rsidRPr="008B02D4">
        <w:rPr>
          <w:rFonts w:asciiTheme="minorHAnsi" w:hAnsiTheme="minorHAnsi" w:cstheme="minorHAnsi"/>
          <w:sz w:val="24"/>
          <w:szCs w:val="24"/>
          <w:lang w:eastAsia="pt-BR"/>
        </w:rPr>
        <w:lastRenderedPageBreak/>
        <w:t xml:space="preserve">aplicação de recursos em investimentos destinados a investidores qualificados ou profissionais, pelos regimes que não cumprirem integralmente esses requisitos. </w:t>
      </w:r>
    </w:p>
    <w:p w14:paraId="4BFC4211" w14:textId="0F20CC63" w:rsidR="00BE5A1E" w:rsidRPr="008B02D4" w:rsidRDefault="00C14592"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A classificação do RPPS como investidor qualificado ou profissional não exime a unidade gestora do regime da responsabilidade pela adoção de elevados padrões éticos e técnicos na governança e controle das operações e pela observância dos princípios previstos em resolução do CMN.</w:t>
      </w:r>
    </w:p>
    <w:p w14:paraId="5BEB5677" w14:textId="0A16FAEA" w:rsidR="00151B69" w:rsidRPr="008B02D4" w:rsidRDefault="00151B6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O RPPS, no momento da elaboração e aprovação da Política de Investimentos para o exercício de </w:t>
      </w:r>
      <w:r w:rsidRPr="008B02D4">
        <w:rPr>
          <w:rFonts w:asciiTheme="minorHAnsi" w:hAnsiTheme="minorHAnsi" w:cstheme="minorHAnsi"/>
          <w:b/>
          <w:bCs/>
          <w:sz w:val="24"/>
          <w:szCs w:val="24"/>
          <w:lang w:eastAsia="pt-BR"/>
        </w:rPr>
        <w:t>202</w:t>
      </w:r>
      <w:r w:rsidR="00FF0023">
        <w:rPr>
          <w:rFonts w:asciiTheme="minorHAnsi" w:hAnsiTheme="minorHAnsi" w:cstheme="minorHAnsi"/>
          <w:b/>
          <w:bCs/>
          <w:sz w:val="24"/>
          <w:szCs w:val="24"/>
          <w:lang w:eastAsia="pt-BR"/>
        </w:rPr>
        <w:t>4</w:t>
      </w:r>
      <w:r w:rsidRPr="008B02D4">
        <w:rPr>
          <w:rFonts w:asciiTheme="minorHAnsi" w:hAnsiTheme="minorHAnsi" w:cstheme="minorHAnsi"/>
          <w:sz w:val="24"/>
          <w:szCs w:val="24"/>
          <w:lang w:eastAsia="pt-BR"/>
        </w:rPr>
        <w:t xml:space="preserve"> está classificado como </w:t>
      </w:r>
      <w:r w:rsidRPr="00083040">
        <w:rPr>
          <w:rFonts w:asciiTheme="minorHAnsi" w:hAnsiTheme="minorHAnsi" w:cstheme="minorHAnsi"/>
          <w:sz w:val="24"/>
          <w:szCs w:val="24"/>
          <w:lang w:eastAsia="pt-BR"/>
        </w:rPr>
        <w:t xml:space="preserve">Investidor </w:t>
      </w:r>
      <w:r w:rsidR="003D6E31" w:rsidRPr="00083040">
        <w:rPr>
          <w:rFonts w:asciiTheme="minorHAnsi" w:hAnsiTheme="minorHAnsi" w:cstheme="minorHAnsi"/>
          <w:sz w:val="24"/>
          <w:szCs w:val="24"/>
          <w:lang w:eastAsia="pt-BR"/>
        </w:rPr>
        <w:t>Comum.</w:t>
      </w:r>
    </w:p>
    <w:p w14:paraId="4B7DF726" w14:textId="2AC3ACA5" w:rsidR="00511467" w:rsidRPr="008B02D4" w:rsidRDefault="00511467"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tbl>
      <w:tblPr>
        <w:tblW w:w="8500" w:type="dxa"/>
        <w:tblCellMar>
          <w:left w:w="70" w:type="dxa"/>
          <w:right w:w="70" w:type="dxa"/>
        </w:tblCellMar>
        <w:tblLook w:val="04A0" w:firstRow="1" w:lastRow="0" w:firstColumn="1" w:lastColumn="0" w:noHBand="0" w:noVBand="1"/>
      </w:tblPr>
      <w:tblGrid>
        <w:gridCol w:w="5382"/>
        <w:gridCol w:w="3118"/>
      </w:tblGrid>
      <w:tr w:rsidR="00511467" w:rsidRPr="008B02D4" w14:paraId="490CABED" w14:textId="77777777" w:rsidTr="00191D48">
        <w:trPr>
          <w:trHeight w:val="306"/>
        </w:trPr>
        <w:tc>
          <w:tcPr>
            <w:tcW w:w="5382" w:type="dxa"/>
            <w:tcBorders>
              <w:top w:val="single" w:sz="4" w:space="0" w:color="000000"/>
              <w:left w:val="single" w:sz="4" w:space="0" w:color="000000"/>
              <w:bottom w:val="single" w:sz="4" w:space="0" w:color="000000"/>
              <w:right w:val="nil"/>
            </w:tcBorders>
            <w:shd w:val="clear" w:color="auto" w:fill="B4C6E7" w:themeFill="accent1" w:themeFillTint="66"/>
            <w:noWrap/>
            <w:vAlign w:val="bottom"/>
            <w:hideMark/>
          </w:tcPr>
          <w:p w14:paraId="1F06ECAE" w14:textId="77777777" w:rsidR="00511467" w:rsidRPr="00977FF3" w:rsidRDefault="00511467" w:rsidP="00B03275">
            <w:pPr>
              <w:spacing w:after="0" w:line="240" w:lineRule="auto"/>
              <w:ind w:right="-568" w:firstLine="851"/>
              <w:rPr>
                <w:rFonts w:asciiTheme="minorHAnsi" w:eastAsia="Times New Roman" w:hAnsiTheme="minorHAnsi" w:cstheme="minorHAnsi"/>
                <w:color w:val="000000"/>
                <w:lang w:eastAsia="pt-BR"/>
              </w:rPr>
            </w:pPr>
            <w:r w:rsidRPr="00977FF3">
              <w:rPr>
                <w:rFonts w:asciiTheme="minorHAnsi" w:eastAsia="Times New Roman" w:hAnsiTheme="minorHAnsi" w:cstheme="minorHAnsi"/>
                <w:color w:val="000000"/>
                <w:lang w:eastAsia="pt-BR"/>
              </w:rPr>
              <w:t xml:space="preserve">Patrimônio Líquido sob gestão (R$) </w:t>
            </w:r>
          </w:p>
        </w:tc>
        <w:tc>
          <w:tcPr>
            <w:tcW w:w="3118" w:type="dxa"/>
            <w:tcBorders>
              <w:top w:val="single" w:sz="4" w:space="0" w:color="000000"/>
              <w:left w:val="nil"/>
              <w:bottom w:val="single" w:sz="4" w:space="0" w:color="000000"/>
              <w:right w:val="single" w:sz="4" w:space="0" w:color="000000"/>
            </w:tcBorders>
            <w:shd w:val="clear" w:color="auto" w:fill="B4C6E7" w:themeFill="accent1" w:themeFillTint="66"/>
            <w:noWrap/>
            <w:vAlign w:val="bottom"/>
            <w:hideMark/>
          </w:tcPr>
          <w:p w14:paraId="67B2950B" w14:textId="481996D0" w:rsidR="00511467" w:rsidRPr="00977FF3" w:rsidRDefault="004524F5" w:rsidP="00191D48">
            <w:pPr>
              <w:spacing w:after="0" w:line="240" w:lineRule="auto"/>
              <w:ind w:right="-568"/>
              <w:rPr>
                <w:rFonts w:asciiTheme="minorHAnsi" w:eastAsia="Times New Roman" w:hAnsiTheme="minorHAnsi" w:cstheme="minorHAnsi"/>
                <w:color w:val="000000"/>
                <w:lang w:eastAsia="pt-BR"/>
              </w:rPr>
            </w:pPr>
            <w:r>
              <w:rPr>
                <w:rFonts w:asciiTheme="minorHAnsi" w:eastAsia="Times New Roman" w:hAnsiTheme="minorHAnsi" w:cstheme="minorHAnsi"/>
                <w:color w:val="000000"/>
                <w:lang w:eastAsia="pt-BR"/>
              </w:rPr>
              <w:t xml:space="preserve">R$ </w:t>
            </w:r>
            <w:r w:rsidR="00191D48" w:rsidRPr="00191D48">
              <w:t>28.809.459,27</w:t>
            </w:r>
            <w:r w:rsidR="00537D5D" w:rsidRPr="00537D5D">
              <w:rPr>
                <w:rFonts w:asciiTheme="minorHAnsi" w:eastAsia="Times New Roman" w:hAnsiTheme="minorHAnsi" w:cstheme="minorHAnsi"/>
                <w:color w:val="000000"/>
                <w:lang w:eastAsia="pt-BR"/>
              </w:rPr>
              <w:t xml:space="preserve"> </w:t>
            </w:r>
            <w:r w:rsidRPr="00537D5D">
              <w:rPr>
                <w:rFonts w:asciiTheme="minorHAnsi" w:eastAsia="Times New Roman" w:hAnsiTheme="minorHAnsi" w:cstheme="minorHAnsi"/>
                <w:color w:val="000000"/>
                <w:lang w:eastAsia="pt-BR"/>
              </w:rPr>
              <w:t>(09/2023)</w:t>
            </w:r>
          </w:p>
        </w:tc>
      </w:tr>
      <w:tr w:rsidR="00511467" w:rsidRPr="008B02D4" w14:paraId="2193EDCB" w14:textId="77777777" w:rsidTr="00191D48">
        <w:trPr>
          <w:trHeight w:val="306"/>
        </w:trPr>
        <w:tc>
          <w:tcPr>
            <w:tcW w:w="5382" w:type="dxa"/>
            <w:tcBorders>
              <w:top w:val="single" w:sz="4" w:space="0" w:color="000000"/>
              <w:left w:val="single" w:sz="4" w:space="0" w:color="000000"/>
              <w:bottom w:val="single" w:sz="4" w:space="0" w:color="000000"/>
              <w:right w:val="nil"/>
            </w:tcBorders>
            <w:shd w:val="clear" w:color="auto" w:fill="auto"/>
            <w:noWrap/>
            <w:vAlign w:val="bottom"/>
            <w:hideMark/>
          </w:tcPr>
          <w:p w14:paraId="062C7047" w14:textId="31D0EA58" w:rsidR="00511467" w:rsidRPr="00191D48" w:rsidRDefault="00511467" w:rsidP="00B03275">
            <w:pPr>
              <w:spacing w:after="0" w:line="240" w:lineRule="auto"/>
              <w:ind w:right="-568" w:firstLine="851"/>
              <w:rPr>
                <w:rFonts w:asciiTheme="minorHAnsi" w:eastAsia="Times New Roman" w:hAnsiTheme="minorHAnsi" w:cstheme="minorHAnsi"/>
                <w:color w:val="000000"/>
                <w:lang w:eastAsia="pt-BR"/>
              </w:rPr>
            </w:pPr>
            <w:r w:rsidRPr="00191D48">
              <w:rPr>
                <w:rFonts w:asciiTheme="minorHAnsi" w:eastAsia="Times New Roman" w:hAnsiTheme="minorHAnsi" w:cstheme="minorHAnsi"/>
                <w:color w:val="000000"/>
                <w:lang w:eastAsia="pt-BR"/>
              </w:rPr>
              <w:t>Certificado de Regularidade Previdenciário</w:t>
            </w:r>
            <w:r w:rsidR="00191D48" w:rsidRPr="00191D48">
              <w:rPr>
                <w:rFonts w:asciiTheme="minorHAnsi" w:eastAsia="Times New Roman" w:hAnsiTheme="minorHAnsi" w:cstheme="minorHAnsi"/>
                <w:color w:val="000000"/>
                <w:lang w:eastAsia="pt-BR"/>
              </w:rPr>
              <w:t xml:space="preserve"> -</w:t>
            </w:r>
            <w:r w:rsidRPr="00191D48">
              <w:rPr>
                <w:rFonts w:asciiTheme="minorHAnsi" w:eastAsia="Times New Roman" w:hAnsiTheme="minorHAnsi" w:cstheme="minorHAnsi"/>
                <w:color w:val="000000"/>
                <w:lang w:eastAsia="pt-BR"/>
              </w:rPr>
              <w:t xml:space="preserve"> CRP</w:t>
            </w: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71DC0AB6" w14:textId="79A304F5" w:rsidR="00511467" w:rsidRPr="00191D48" w:rsidRDefault="00191D48" w:rsidP="00191D48">
            <w:pPr>
              <w:spacing w:after="0" w:line="240" w:lineRule="auto"/>
              <w:ind w:right="-568"/>
              <w:rPr>
                <w:rFonts w:asciiTheme="minorHAnsi" w:eastAsia="Times New Roman" w:hAnsiTheme="minorHAnsi" w:cstheme="minorHAnsi"/>
                <w:color w:val="000000"/>
                <w:lang w:eastAsia="pt-BR"/>
              </w:rPr>
            </w:pPr>
            <w:r w:rsidRPr="00191D48">
              <w:rPr>
                <w:rFonts w:asciiTheme="minorHAnsi" w:eastAsia="Times New Roman" w:hAnsiTheme="minorHAnsi" w:cstheme="minorHAnsi"/>
                <w:color w:val="000000"/>
                <w:lang w:eastAsia="pt-BR"/>
              </w:rPr>
              <w:t>09/02/2024</w:t>
            </w:r>
          </w:p>
        </w:tc>
      </w:tr>
      <w:tr w:rsidR="00511467" w:rsidRPr="008B02D4" w14:paraId="4FE9B401" w14:textId="77777777" w:rsidTr="00191D48">
        <w:trPr>
          <w:trHeight w:val="437"/>
        </w:trPr>
        <w:tc>
          <w:tcPr>
            <w:tcW w:w="5382" w:type="dxa"/>
            <w:tcBorders>
              <w:top w:val="single" w:sz="4" w:space="0" w:color="000000"/>
              <w:left w:val="single" w:sz="4" w:space="0" w:color="000000"/>
              <w:bottom w:val="single" w:sz="4" w:space="0" w:color="000000"/>
              <w:right w:val="nil"/>
            </w:tcBorders>
            <w:shd w:val="clear" w:color="auto" w:fill="B4C6E7" w:themeFill="accent1" w:themeFillTint="66"/>
            <w:noWrap/>
            <w:vAlign w:val="bottom"/>
            <w:hideMark/>
          </w:tcPr>
          <w:p w14:paraId="43163A05" w14:textId="77777777" w:rsidR="00511467" w:rsidRPr="00B76960" w:rsidRDefault="00511467" w:rsidP="00B03275">
            <w:pPr>
              <w:spacing w:after="0" w:line="240" w:lineRule="auto"/>
              <w:ind w:right="-568" w:firstLine="851"/>
              <w:rPr>
                <w:rFonts w:asciiTheme="minorHAnsi" w:eastAsia="Times New Roman" w:hAnsiTheme="minorHAnsi" w:cstheme="minorHAnsi"/>
                <w:color w:val="000000"/>
                <w:highlight w:val="green"/>
                <w:lang w:eastAsia="pt-BR"/>
              </w:rPr>
            </w:pPr>
            <w:r w:rsidRPr="00083040">
              <w:rPr>
                <w:rFonts w:asciiTheme="minorHAnsi" w:eastAsia="Times New Roman" w:hAnsiTheme="minorHAnsi" w:cstheme="minorHAnsi"/>
                <w:color w:val="000000"/>
                <w:lang w:eastAsia="pt-BR"/>
              </w:rPr>
              <w:t xml:space="preserve">Comitê de Investimentos </w:t>
            </w:r>
          </w:p>
        </w:tc>
        <w:tc>
          <w:tcPr>
            <w:tcW w:w="3118" w:type="dxa"/>
            <w:tcBorders>
              <w:top w:val="single" w:sz="4" w:space="0" w:color="000000"/>
              <w:left w:val="nil"/>
              <w:bottom w:val="single" w:sz="4" w:space="0" w:color="000000"/>
              <w:right w:val="single" w:sz="4" w:space="0" w:color="000000"/>
            </w:tcBorders>
            <w:shd w:val="clear" w:color="auto" w:fill="B4C6E7" w:themeFill="accent1" w:themeFillTint="66"/>
            <w:noWrap/>
            <w:vAlign w:val="bottom"/>
            <w:hideMark/>
          </w:tcPr>
          <w:p w14:paraId="46BCB146" w14:textId="0584DD3D" w:rsidR="00511467" w:rsidRPr="00B76960" w:rsidRDefault="00083040" w:rsidP="00191D48">
            <w:pPr>
              <w:spacing w:after="0" w:line="240" w:lineRule="auto"/>
              <w:ind w:right="-568"/>
              <w:rPr>
                <w:rFonts w:asciiTheme="minorHAnsi" w:eastAsia="Times New Roman" w:hAnsiTheme="minorHAnsi" w:cstheme="minorHAnsi"/>
                <w:color w:val="000000"/>
                <w:highlight w:val="green"/>
                <w:lang w:eastAsia="pt-BR"/>
              </w:rPr>
            </w:pPr>
            <w:r w:rsidRPr="00083040">
              <w:rPr>
                <w:rFonts w:asciiTheme="minorHAnsi" w:eastAsia="Times New Roman" w:hAnsiTheme="minorHAnsi" w:cstheme="minorHAnsi"/>
                <w:color w:val="000000"/>
                <w:lang w:eastAsia="pt-BR"/>
              </w:rPr>
              <w:t>Decreto</w:t>
            </w:r>
            <w:r w:rsidR="00511467" w:rsidRPr="00083040">
              <w:rPr>
                <w:rFonts w:asciiTheme="minorHAnsi" w:eastAsia="Times New Roman" w:hAnsiTheme="minorHAnsi" w:cstheme="minorHAnsi"/>
                <w:color w:val="000000"/>
                <w:lang w:eastAsia="pt-BR"/>
              </w:rPr>
              <w:t xml:space="preserve"> N°</w:t>
            </w:r>
            <w:r w:rsidRPr="00083040">
              <w:rPr>
                <w:rFonts w:asciiTheme="minorHAnsi" w:eastAsia="Times New Roman" w:hAnsiTheme="minorHAnsi" w:cstheme="minorHAnsi"/>
                <w:color w:val="000000"/>
                <w:lang w:eastAsia="pt-BR"/>
              </w:rPr>
              <w:t xml:space="preserve"> </w:t>
            </w:r>
            <w:r w:rsidRPr="00472ACC">
              <w:rPr>
                <w:rFonts w:eastAsia="Times New Roman" w:cs="Calibri"/>
                <w:color w:val="000000"/>
                <w:lang w:eastAsia="pt-BR"/>
              </w:rPr>
              <w:t>7877/GP/2020</w:t>
            </w:r>
          </w:p>
        </w:tc>
      </w:tr>
      <w:tr w:rsidR="00511467" w:rsidRPr="008B02D4" w14:paraId="438C2387" w14:textId="77777777" w:rsidTr="00191D48">
        <w:trPr>
          <w:trHeight w:val="306"/>
        </w:trPr>
        <w:tc>
          <w:tcPr>
            <w:tcW w:w="5382" w:type="dxa"/>
            <w:tcBorders>
              <w:top w:val="single" w:sz="4" w:space="0" w:color="000000"/>
              <w:left w:val="single" w:sz="4" w:space="0" w:color="000000"/>
              <w:bottom w:val="single" w:sz="4" w:space="0" w:color="000000"/>
              <w:right w:val="nil"/>
            </w:tcBorders>
            <w:shd w:val="clear" w:color="auto" w:fill="auto"/>
            <w:noWrap/>
            <w:vAlign w:val="bottom"/>
            <w:hideMark/>
          </w:tcPr>
          <w:p w14:paraId="53AB6194" w14:textId="77777777" w:rsidR="00511467" w:rsidRPr="00083040" w:rsidRDefault="00511467" w:rsidP="00B03275">
            <w:pPr>
              <w:spacing w:after="0" w:line="240" w:lineRule="auto"/>
              <w:ind w:right="-568" w:firstLine="851"/>
              <w:rPr>
                <w:rFonts w:asciiTheme="minorHAnsi" w:eastAsia="Times New Roman" w:hAnsiTheme="minorHAnsi" w:cstheme="minorHAnsi"/>
                <w:color w:val="000000"/>
                <w:lang w:eastAsia="pt-BR"/>
              </w:rPr>
            </w:pPr>
            <w:r w:rsidRPr="00083040">
              <w:rPr>
                <w:rFonts w:asciiTheme="minorHAnsi" w:eastAsia="Times New Roman" w:hAnsiTheme="minorHAnsi" w:cstheme="minorHAnsi"/>
                <w:color w:val="000000"/>
                <w:lang w:eastAsia="pt-BR"/>
              </w:rPr>
              <w:t xml:space="preserve">Adesão ao Pró-Gestão </w:t>
            </w: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70CB5516" w14:textId="61428988" w:rsidR="00511467" w:rsidRPr="00083040" w:rsidRDefault="00083040" w:rsidP="00191D48">
            <w:pPr>
              <w:spacing w:after="0" w:line="240" w:lineRule="auto"/>
              <w:ind w:right="-568"/>
              <w:rPr>
                <w:rFonts w:asciiTheme="minorHAnsi" w:eastAsia="Times New Roman" w:hAnsiTheme="minorHAnsi" w:cstheme="minorHAnsi"/>
                <w:color w:val="000000"/>
                <w:lang w:eastAsia="pt-BR"/>
              </w:rPr>
            </w:pPr>
            <w:r w:rsidRPr="00083040">
              <w:rPr>
                <w:rFonts w:asciiTheme="minorHAnsi" w:eastAsia="Times New Roman" w:hAnsiTheme="minorHAnsi" w:cstheme="minorHAnsi"/>
                <w:color w:val="000000"/>
                <w:lang w:eastAsia="pt-BR"/>
              </w:rPr>
              <w:t>20/09/2022</w:t>
            </w:r>
          </w:p>
        </w:tc>
      </w:tr>
      <w:tr w:rsidR="00511467" w:rsidRPr="008B02D4" w14:paraId="76879759" w14:textId="77777777" w:rsidTr="00191D48">
        <w:trPr>
          <w:trHeight w:val="306"/>
        </w:trPr>
        <w:tc>
          <w:tcPr>
            <w:tcW w:w="5382" w:type="dxa"/>
            <w:tcBorders>
              <w:top w:val="single" w:sz="4" w:space="0" w:color="000000"/>
              <w:left w:val="single" w:sz="4" w:space="0" w:color="000000"/>
              <w:bottom w:val="single" w:sz="4" w:space="0" w:color="000000"/>
              <w:right w:val="nil"/>
            </w:tcBorders>
            <w:shd w:val="clear" w:color="auto" w:fill="B4C6E7" w:themeFill="accent1" w:themeFillTint="66"/>
            <w:noWrap/>
            <w:vAlign w:val="bottom"/>
            <w:hideMark/>
          </w:tcPr>
          <w:p w14:paraId="723BD9AB" w14:textId="77777777" w:rsidR="00511467" w:rsidRPr="00083040" w:rsidRDefault="00511467" w:rsidP="00B03275">
            <w:pPr>
              <w:spacing w:after="0" w:line="240" w:lineRule="auto"/>
              <w:ind w:right="-568" w:firstLine="851"/>
              <w:rPr>
                <w:rFonts w:asciiTheme="minorHAnsi" w:eastAsia="Times New Roman" w:hAnsiTheme="minorHAnsi" w:cstheme="minorHAnsi"/>
                <w:color w:val="000000"/>
                <w:lang w:eastAsia="pt-BR"/>
              </w:rPr>
            </w:pPr>
            <w:r w:rsidRPr="00083040">
              <w:rPr>
                <w:rFonts w:asciiTheme="minorHAnsi" w:eastAsia="Times New Roman" w:hAnsiTheme="minorHAnsi" w:cstheme="minorHAnsi"/>
                <w:color w:val="000000"/>
                <w:lang w:eastAsia="pt-BR"/>
              </w:rPr>
              <w:t xml:space="preserve">Nível de Aderência ao Pró-Gestão </w:t>
            </w:r>
          </w:p>
        </w:tc>
        <w:tc>
          <w:tcPr>
            <w:tcW w:w="3118" w:type="dxa"/>
            <w:tcBorders>
              <w:top w:val="single" w:sz="4" w:space="0" w:color="000000"/>
              <w:left w:val="nil"/>
              <w:bottom w:val="single" w:sz="4" w:space="0" w:color="000000"/>
              <w:right w:val="single" w:sz="4" w:space="0" w:color="000000"/>
            </w:tcBorders>
            <w:shd w:val="clear" w:color="auto" w:fill="B4C6E7" w:themeFill="accent1" w:themeFillTint="66"/>
            <w:noWrap/>
            <w:vAlign w:val="bottom"/>
            <w:hideMark/>
          </w:tcPr>
          <w:p w14:paraId="7D1A56F9" w14:textId="19A3532C" w:rsidR="00511467" w:rsidRPr="00083040" w:rsidRDefault="00511467" w:rsidP="00191D48">
            <w:pPr>
              <w:spacing w:after="0" w:line="240" w:lineRule="auto"/>
              <w:ind w:right="-568"/>
              <w:rPr>
                <w:rFonts w:asciiTheme="minorHAnsi" w:eastAsia="Times New Roman" w:hAnsiTheme="minorHAnsi" w:cstheme="minorHAnsi"/>
                <w:color w:val="000000"/>
                <w:lang w:eastAsia="pt-BR"/>
              </w:rPr>
            </w:pPr>
            <w:r w:rsidRPr="00083040">
              <w:rPr>
                <w:rFonts w:asciiTheme="minorHAnsi" w:eastAsia="Times New Roman" w:hAnsiTheme="minorHAnsi" w:cstheme="minorHAnsi"/>
                <w:color w:val="000000"/>
                <w:lang w:eastAsia="pt-BR"/>
              </w:rPr>
              <w:t>Nível</w:t>
            </w:r>
            <w:r w:rsidR="00083040" w:rsidRPr="00083040">
              <w:rPr>
                <w:rFonts w:asciiTheme="minorHAnsi" w:eastAsia="Times New Roman" w:hAnsiTheme="minorHAnsi" w:cstheme="minorHAnsi"/>
                <w:color w:val="000000"/>
                <w:lang w:eastAsia="pt-BR"/>
              </w:rPr>
              <w:t xml:space="preserve"> I</w:t>
            </w:r>
          </w:p>
        </w:tc>
      </w:tr>
      <w:tr w:rsidR="00511467" w:rsidRPr="008B02D4" w14:paraId="7C6FAE2E" w14:textId="77777777" w:rsidTr="00191D48">
        <w:trPr>
          <w:trHeight w:val="306"/>
        </w:trPr>
        <w:tc>
          <w:tcPr>
            <w:tcW w:w="5382" w:type="dxa"/>
            <w:tcBorders>
              <w:top w:val="single" w:sz="4" w:space="0" w:color="000000"/>
              <w:left w:val="single" w:sz="4" w:space="0" w:color="000000"/>
              <w:bottom w:val="single" w:sz="4" w:space="0" w:color="000000"/>
              <w:right w:val="nil"/>
            </w:tcBorders>
            <w:shd w:val="clear" w:color="auto" w:fill="auto"/>
            <w:noWrap/>
            <w:vAlign w:val="bottom"/>
            <w:hideMark/>
          </w:tcPr>
          <w:p w14:paraId="4AC62C24" w14:textId="77777777" w:rsidR="00511467" w:rsidRPr="00083040" w:rsidRDefault="00511467" w:rsidP="00B03275">
            <w:pPr>
              <w:spacing w:after="0" w:line="240" w:lineRule="auto"/>
              <w:ind w:right="-568" w:firstLine="851"/>
              <w:rPr>
                <w:rFonts w:asciiTheme="minorHAnsi" w:eastAsia="Times New Roman" w:hAnsiTheme="minorHAnsi" w:cstheme="minorHAnsi"/>
                <w:color w:val="000000"/>
                <w:lang w:eastAsia="pt-BR"/>
              </w:rPr>
            </w:pPr>
            <w:r w:rsidRPr="00083040">
              <w:rPr>
                <w:rFonts w:asciiTheme="minorHAnsi" w:eastAsia="Times New Roman" w:hAnsiTheme="minorHAnsi" w:cstheme="minorHAnsi"/>
                <w:color w:val="000000"/>
                <w:lang w:eastAsia="pt-BR"/>
              </w:rPr>
              <w:t xml:space="preserve">Vencimento da Certificação </w:t>
            </w: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2F982FD4" w14:textId="224952F2" w:rsidR="00511467" w:rsidRPr="00083040" w:rsidRDefault="00083040" w:rsidP="00191D48">
            <w:pPr>
              <w:spacing w:after="0" w:line="240" w:lineRule="auto"/>
              <w:ind w:right="-568"/>
              <w:rPr>
                <w:rFonts w:asciiTheme="minorHAnsi" w:eastAsia="Times New Roman" w:hAnsiTheme="minorHAnsi" w:cstheme="minorHAnsi"/>
                <w:color w:val="000000"/>
                <w:lang w:eastAsia="pt-BR"/>
              </w:rPr>
            </w:pPr>
            <w:r w:rsidRPr="00083040">
              <w:rPr>
                <w:rFonts w:asciiTheme="minorHAnsi" w:eastAsia="Times New Roman" w:hAnsiTheme="minorHAnsi" w:cstheme="minorHAnsi"/>
                <w:color w:val="000000"/>
                <w:lang w:eastAsia="pt-BR"/>
              </w:rPr>
              <w:t>Sem Certificação</w:t>
            </w:r>
          </w:p>
        </w:tc>
      </w:tr>
      <w:tr w:rsidR="00511467" w:rsidRPr="008B02D4" w14:paraId="413752D0" w14:textId="77777777" w:rsidTr="00191D48">
        <w:trPr>
          <w:trHeight w:val="306"/>
        </w:trPr>
        <w:tc>
          <w:tcPr>
            <w:tcW w:w="5382" w:type="dxa"/>
            <w:tcBorders>
              <w:top w:val="single" w:sz="4" w:space="0" w:color="000000"/>
              <w:left w:val="single" w:sz="4" w:space="0" w:color="000000"/>
              <w:bottom w:val="single" w:sz="4" w:space="0" w:color="000000"/>
              <w:right w:val="nil"/>
            </w:tcBorders>
            <w:shd w:val="clear" w:color="auto" w:fill="B4C6E7" w:themeFill="accent1" w:themeFillTint="66"/>
            <w:noWrap/>
            <w:vAlign w:val="bottom"/>
            <w:hideMark/>
          </w:tcPr>
          <w:p w14:paraId="637A1691" w14:textId="77777777" w:rsidR="00511467" w:rsidRPr="00083040" w:rsidRDefault="00511467" w:rsidP="00B03275">
            <w:pPr>
              <w:spacing w:after="0" w:line="240" w:lineRule="auto"/>
              <w:ind w:right="-568" w:firstLine="851"/>
              <w:rPr>
                <w:rFonts w:asciiTheme="minorHAnsi" w:eastAsia="Times New Roman" w:hAnsiTheme="minorHAnsi" w:cstheme="minorHAnsi"/>
                <w:color w:val="000000"/>
                <w:lang w:eastAsia="pt-BR"/>
              </w:rPr>
            </w:pPr>
            <w:r w:rsidRPr="00083040">
              <w:rPr>
                <w:rFonts w:asciiTheme="minorHAnsi" w:eastAsia="Times New Roman" w:hAnsiTheme="minorHAnsi" w:cstheme="minorHAnsi"/>
                <w:color w:val="000000"/>
                <w:lang w:eastAsia="pt-BR"/>
              </w:rPr>
              <w:t xml:space="preserve">Categoria de Investidor </w:t>
            </w:r>
          </w:p>
        </w:tc>
        <w:tc>
          <w:tcPr>
            <w:tcW w:w="3118" w:type="dxa"/>
            <w:tcBorders>
              <w:top w:val="single" w:sz="4" w:space="0" w:color="000000"/>
              <w:left w:val="nil"/>
              <w:bottom w:val="single" w:sz="4" w:space="0" w:color="000000"/>
              <w:right w:val="single" w:sz="4" w:space="0" w:color="000000"/>
            </w:tcBorders>
            <w:shd w:val="clear" w:color="auto" w:fill="B4C6E7" w:themeFill="accent1" w:themeFillTint="66"/>
            <w:noWrap/>
            <w:vAlign w:val="bottom"/>
            <w:hideMark/>
          </w:tcPr>
          <w:p w14:paraId="5DC09C41" w14:textId="74997059" w:rsidR="00511467" w:rsidRPr="00083040" w:rsidRDefault="00380F37" w:rsidP="00191D48">
            <w:pPr>
              <w:spacing w:after="0" w:line="240" w:lineRule="auto"/>
              <w:ind w:right="-568"/>
              <w:rPr>
                <w:rFonts w:asciiTheme="minorHAnsi" w:eastAsia="Times New Roman" w:hAnsiTheme="minorHAnsi" w:cstheme="minorHAnsi"/>
                <w:color w:val="000000"/>
                <w:lang w:eastAsia="pt-BR"/>
              </w:rPr>
            </w:pPr>
            <w:r w:rsidRPr="00083040">
              <w:rPr>
                <w:rFonts w:asciiTheme="minorHAnsi" w:eastAsia="Times New Roman" w:hAnsiTheme="minorHAnsi" w:cstheme="minorHAnsi"/>
                <w:color w:val="000000"/>
                <w:lang w:eastAsia="pt-BR"/>
              </w:rPr>
              <w:t>Investidor</w:t>
            </w:r>
            <w:r w:rsidR="003C3670" w:rsidRPr="00083040">
              <w:rPr>
                <w:rFonts w:asciiTheme="minorHAnsi" w:eastAsia="Times New Roman" w:hAnsiTheme="minorHAnsi" w:cstheme="minorHAnsi"/>
                <w:color w:val="000000"/>
                <w:lang w:eastAsia="pt-BR"/>
              </w:rPr>
              <w:t xml:space="preserve"> </w:t>
            </w:r>
            <w:r w:rsidR="000B7FE9" w:rsidRPr="00083040">
              <w:rPr>
                <w:rFonts w:asciiTheme="minorHAnsi" w:eastAsia="Times New Roman" w:hAnsiTheme="minorHAnsi" w:cstheme="minorHAnsi"/>
                <w:color w:val="000000"/>
                <w:lang w:eastAsia="pt-BR"/>
              </w:rPr>
              <w:t>comum</w:t>
            </w:r>
          </w:p>
        </w:tc>
      </w:tr>
    </w:tbl>
    <w:p w14:paraId="34B9BD6E" w14:textId="54A50073" w:rsidR="00BE5A1E" w:rsidRPr="008B02D4" w:rsidRDefault="00BE5A1E" w:rsidP="00B03275">
      <w:pPr>
        <w:pStyle w:val="Ttulo1"/>
        <w:spacing w:before="120" w:after="120" w:line="240" w:lineRule="auto"/>
        <w:ind w:right="-568" w:firstLine="851"/>
        <w:jc w:val="both"/>
        <w:rPr>
          <w:rFonts w:asciiTheme="minorHAnsi" w:hAnsiTheme="minorHAnsi" w:cstheme="minorHAnsi"/>
          <w:szCs w:val="24"/>
          <w:lang w:eastAsia="pt-BR"/>
        </w:rPr>
      </w:pPr>
      <w:bookmarkStart w:id="3" w:name="_Toc93910746"/>
    </w:p>
    <w:p w14:paraId="6761E042" w14:textId="4E1C74CD" w:rsidR="005B65BF" w:rsidRPr="008B02D4" w:rsidRDefault="00246D19" w:rsidP="00B10783">
      <w:pPr>
        <w:pStyle w:val="Ttulo1"/>
        <w:numPr>
          <w:ilvl w:val="0"/>
          <w:numId w:val="4"/>
        </w:numPr>
        <w:spacing w:before="120" w:after="120" w:line="240" w:lineRule="auto"/>
        <w:ind w:left="0" w:right="-568" w:firstLine="851"/>
        <w:jc w:val="both"/>
        <w:rPr>
          <w:rFonts w:asciiTheme="minorHAnsi" w:hAnsiTheme="minorHAnsi" w:cstheme="minorHAnsi"/>
          <w:szCs w:val="24"/>
          <w:lang w:eastAsia="pt-BR"/>
        </w:rPr>
      </w:pPr>
      <w:r w:rsidRPr="008B02D4">
        <w:rPr>
          <w:rFonts w:asciiTheme="minorHAnsi" w:hAnsiTheme="minorHAnsi" w:cstheme="minorHAnsi"/>
          <w:szCs w:val="24"/>
          <w:lang w:eastAsia="pt-BR"/>
        </w:rPr>
        <w:t>Gestão Previdenciária</w:t>
      </w:r>
      <w:bookmarkEnd w:id="3"/>
    </w:p>
    <w:p w14:paraId="51D6A68F" w14:textId="77777777" w:rsidR="00D5474A" w:rsidRPr="008B02D4" w:rsidRDefault="00D5474A"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3A45E1EC" w14:textId="74112C1F" w:rsidR="00B913CF" w:rsidRPr="008B02D4" w:rsidRDefault="00B913CF"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A adesão, de acordo com a Portaria MPS Nº 185, de 14 de maio de 2015, tem por objetivo incentivar a adoção das melhores práticas de gestão previdenciária, proporcionando maior controle dos seus ativos. </w:t>
      </w:r>
    </w:p>
    <w:p w14:paraId="522C213B" w14:textId="2B69DD20" w:rsidR="00487174" w:rsidRPr="008B02D4" w:rsidRDefault="00487174" w:rsidP="00B03275">
      <w:pPr>
        <w:autoSpaceDE w:val="0"/>
        <w:autoSpaceDN w:val="0"/>
        <w:adjustRightInd w:val="0"/>
        <w:spacing w:after="0" w:line="360" w:lineRule="auto"/>
        <w:ind w:right="-568" w:firstLine="851"/>
        <w:jc w:val="both"/>
        <w:rPr>
          <w:rFonts w:asciiTheme="minorHAnsi" w:hAnsiTheme="minorHAnsi" w:cstheme="minorHAnsi"/>
          <w:sz w:val="24"/>
          <w:szCs w:val="24"/>
          <w:highlight w:val="yellow"/>
          <w:lang w:eastAsia="pt-BR"/>
        </w:rPr>
      </w:pPr>
      <w:r w:rsidRPr="008B02D4">
        <w:rPr>
          <w:rFonts w:asciiTheme="minorHAnsi" w:hAnsiTheme="minorHAnsi" w:cstheme="minorHAnsi"/>
          <w:sz w:val="24"/>
          <w:szCs w:val="24"/>
          <w:lang w:eastAsia="pt-BR"/>
        </w:rPr>
        <w:t xml:space="preserve">A gestão das aplicações dos recursos do RPPS, de acordo com </w:t>
      </w:r>
      <w:r w:rsidR="00F25A76">
        <w:rPr>
          <w:rFonts w:asciiTheme="minorHAnsi" w:hAnsiTheme="minorHAnsi" w:cstheme="minorHAnsi"/>
          <w:sz w:val="24"/>
          <w:szCs w:val="24"/>
          <w:lang w:eastAsia="pt-BR"/>
        </w:rPr>
        <w:t xml:space="preserve">a </w:t>
      </w:r>
      <w:r w:rsidRPr="008B02D4">
        <w:rPr>
          <w:rFonts w:asciiTheme="minorHAnsi" w:hAnsiTheme="minorHAnsi" w:cstheme="minorHAnsi"/>
          <w:sz w:val="24"/>
          <w:szCs w:val="24"/>
          <w:lang w:eastAsia="pt-BR"/>
        </w:rPr>
        <w:t xml:space="preserve">Portaria MPS nº </w:t>
      </w:r>
      <w:r w:rsidR="00F25A76">
        <w:rPr>
          <w:rFonts w:asciiTheme="minorHAnsi" w:hAnsiTheme="minorHAnsi" w:cstheme="minorHAnsi"/>
          <w:sz w:val="24"/>
          <w:szCs w:val="24"/>
          <w:lang w:eastAsia="pt-BR"/>
        </w:rPr>
        <w:t>1.467</w:t>
      </w:r>
      <w:r w:rsidRPr="008B02D4">
        <w:rPr>
          <w:rFonts w:asciiTheme="minorHAnsi" w:hAnsiTheme="minorHAnsi" w:cstheme="minorHAnsi"/>
          <w:sz w:val="24"/>
          <w:szCs w:val="24"/>
          <w:lang w:eastAsia="pt-BR"/>
        </w:rPr>
        <w:t>/</w:t>
      </w:r>
      <w:r w:rsidR="00F25A76">
        <w:rPr>
          <w:rFonts w:asciiTheme="minorHAnsi" w:hAnsiTheme="minorHAnsi" w:cstheme="minorHAnsi"/>
          <w:sz w:val="24"/>
          <w:szCs w:val="24"/>
          <w:lang w:eastAsia="pt-BR"/>
        </w:rPr>
        <w:t>2022</w:t>
      </w:r>
      <w:r w:rsidRPr="008B02D4">
        <w:rPr>
          <w:rFonts w:asciiTheme="minorHAnsi" w:hAnsiTheme="minorHAnsi" w:cstheme="minorHAnsi"/>
          <w:sz w:val="24"/>
          <w:szCs w:val="24"/>
          <w:lang w:eastAsia="pt-BR"/>
        </w:rPr>
        <w:t xml:space="preserve"> e alterações, </w:t>
      </w:r>
      <w:r w:rsidR="00F25A76">
        <w:rPr>
          <w:rFonts w:asciiTheme="minorHAnsi" w:hAnsiTheme="minorHAnsi" w:cstheme="minorHAnsi"/>
          <w:sz w:val="24"/>
          <w:szCs w:val="24"/>
          <w:lang w:eastAsia="pt-BR"/>
        </w:rPr>
        <w:t xml:space="preserve">poderá ser </w:t>
      </w:r>
      <w:r w:rsidRPr="008B02D4">
        <w:rPr>
          <w:rFonts w:asciiTheme="minorHAnsi" w:hAnsiTheme="minorHAnsi" w:cstheme="minorHAnsi"/>
          <w:sz w:val="24"/>
          <w:szCs w:val="24"/>
          <w:lang w:eastAsia="pt-BR"/>
        </w:rPr>
        <w:t>própria,</w:t>
      </w:r>
      <w:r w:rsidR="00F25A76">
        <w:rPr>
          <w:rFonts w:asciiTheme="minorHAnsi" w:hAnsiTheme="minorHAnsi" w:cstheme="minorHAnsi"/>
          <w:sz w:val="24"/>
          <w:szCs w:val="24"/>
          <w:lang w:eastAsia="pt-BR"/>
        </w:rPr>
        <w:t xml:space="preserve"> o</w:t>
      </w:r>
      <w:r w:rsidRPr="008B02D4">
        <w:rPr>
          <w:rFonts w:asciiTheme="minorHAnsi" w:hAnsiTheme="minorHAnsi" w:cstheme="minorHAnsi"/>
          <w:sz w:val="24"/>
          <w:szCs w:val="24"/>
          <w:lang w:eastAsia="pt-BR"/>
        </w:rPr>
        <w:t xml:space="preserve"> ou seja, realizando diretamente, a execução da Política de Investimentos de sua carteira, decidindo sobre as alocações dos recursos e respeitados os parâmetros da legislação e definidos nesta Política.</w:t>
      </w:r>
    </w:p>
    <w:p w14:paraId="0ED043E4" w14:textId="0F333948" w:rsidR="00A67697" w:rsidRPr="008B02D4" w:rsidRDefault="00A67697"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A estratégia de alocação dos recursos do RPPS ficará restrita aos produtos vinculados a carteira A</w:t>
      </w:r>
      <w:r w:rsidR="00AD6FE7" w:rsidRPr="008B02D4">
        <w:rPr>
          <w:rFonts w:asciiTheme="minorHAnsi" w:hAnsiTheme="minorHAnsi" w:cstheme="minorHAnsi"/>
          <w:sz w:val="24"/>
          <w:szCs w:val="24"/>
          <w:lang w:eastAsia="pt-BR"/>
        </w:rPr>
        <w:t>NBIMA</w:t>
      </w:r>
      <w:r w:rsidRPr="008B02D4">
        <w:rPr>
          <w:rFonts w:asciiTheme="minorHAnsi" w:hAnsiTheme="minorHAnsi" w:cstheme="minorHAnsi"/>
          <w:sz w:val="24"/>
          <w:szCs w:val="24"/>
          <w:lang w:eastAsia="pt-BR"/>
        </w:rPr>
        <w:t>.</w:t>
      </w:r>
      <w:r w:rsidR="00B913CF" w:rsidRPr="008B02D4">
        <w:rPr>
          <w:rFonts w:asciiTheme="minorHAnsi" w:hAnsiTheme="minorHAnsi" w:cstheme="minorHAnsi"/>
          <w:sz w:val="24"/>
          <w:szCs w:val="24"/>
        </w:rPr>
        <w:t xml:space="preserve"> </w:t>
      </w:r>
      <w:r w:rsidR="00B913CF" w:rsidRPr="008B02D4">
        <w:rPr>
          <w:rFonts w:asciiTheme="minorHAnsi" w:hAnsiTheme="minorHAnsi" w:cstheme="minorHAnsi"/>
          <w:sz w:val="24"/>
          <w:szCs w:val="24"/>
          <w:lang w:eastAsia="pt-BR"/>
        </w:rPr>
        <w:t xml:space="preserve">Ainda de acordo com os normativos, a Política de </w:t>
      </w:r>
      <w:r w:rsidR="00406269" w:rsidRPr="008B02D4">
        <w:rPr>
          <w:rFonts w:asciiTheme="minorHAnsi" w:hAnsiTheme="minorHAnsi" w:cstheme="minorHAnsi"/>
          <w:sz w:val="24"/>
          <w:szCs w:val="24"/>
          <w:lang w:eastAsia="pt-BR"/>
        </w:rPr>
        <w:t>Investimento</w:t>
      </w:r>
      <w:r w:rsidR="00B913CF" w:rsidRPr="008B02D4">
        <w:rPr>
          <w:rFonts w:asciiTheme="minorHAnsi" w:hAnsiTheme="minorHAnsi" w:cstheme="minorHAnsi"/>
          <w:sz w:val="24"/>
          <w:szCs w:val="24"/>
          <w:lang w:eastAsia="pt-BR"/>
        </w:rPr>
        <w:t xml:space="preserve"> descrita estabelece os princípios e diretrizes a serem seguidos na gestão dos recursos correspondentes </w:t>
      </w:r>
      <w:r w:rsidR="00B913CF" w:rsidRPr="008B02D4">
        <w:rPr>
          <w:rFonts w:asciiTheme="minorHAnsi" w:hAnsiTheme="minorHAnsi" w:cstheme="minorHAnsi"/>
          <w:sz w:val="24"/>
          <w:szCs w:val="24"/>
          <w:lang w:eastAsia="pt-BR"/>
        </w:rPr>
        <w:lastRenderedPageBreak/>
        <w:t>às reservas técnicas, fundos e provisões, visando atingir e preservar o equilíbrio financeiro e atuarial e a solvência do plano de Benefícios.</w:t>
      </w:r>
    </w:p>
    <w:p w14:paraId="161B3208" w14:textId="6AB0EA1D" w:rsidR="0058301F" w:rsidRPr="008B02D4" w:rsidRDefault="0058301F"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As diretrizes da entidade para o Credenciamento de Administradores, Gestores, Distribuidores, Custodiantes e estão traçadas no seu Regulamento de Credenciamento.</w:t>
      </w:r>
    </w:p>
    <w:p w14:paraId="72D74B06" w14:textId="7EF3ABC4" w:rsidR="0058301F" w:rsidRDefault="0058301F"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Ainda, serão executadas e observadas, todas as diretrizes estipuladas em seu Regulamento de Orçamento para Gestores e Fundos de Investimentos, e Regulamento de seleção de gestores e fundos de investimentos, com o intuito precípuo da busca permanente da diversificação e, consequentemente, diluição de riscos.</w:t>
      </w:r>
      <w:r w:rsidR="009204F3">
        <w:rPr>
          <w:rFonts w:asciiTheme="minorHAnsi" w:hAnsiTheme="minorHAnsi" w:cstheme="minorHAnsi"/>
          <w:sz w:val="24"/>
          <w:szCs w:val="24"/>
          <w:lang w:eastAsia="pt-BR"/>
        </w:rPr>
        <w:t xml:space="preserve"> </w:t>
      </w:r>
    </w:p>
    <w:p w14:paraId="6F460A32" w14:textId="247AB277" w:rsidR="00936135" w:rsidRPr="008B02D4" w:rsidRDefault="00FF2BB0"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Pr>
          <w:rFonts w:asciiTheme="minorHAnsi" w:hAnsiTheme="minorHAnsi" w:cstheme="minorHAnsi"/>
          <w:sz w:val="24"/>
          <w:szCs w:val="24"/>
          <w:lang w:eastAsia="pt-BR"/>
        </w:rPr>
        <w:t>O credenciamento das instituições terá</w:t>
      </w:r>
      <w:r w:rsidR="00936135">
        <w:rPr>
          <w:rFonts w:asciiTheme="minorHAnsi" w:hAnsiTheme="minorHAnsi" w:cstheme="minorHAnsi"/>
          <w:sz w:val="24"/>
          <w:szCs w:val="24"/>
          <w:lang w:eastAsia="pt-BR"/>
        </w:rPr>
        <w:t xml:space="preserve"> prazo de 24 meses</w:t>
      </w:r>
      <w:r w:rsidR="00411A24">
        <w:rPr>
          <w:rFonts w:asciiTheme="minorHAnsi" w:hAnsiTheme="minorHAnsi" w:cstheme="minorHAnsi"/>
          <w:sz w:val="24"/>
          <w:szCs w:val="24"/>
          <w:lang w:eastAsia="pt-BR"/>
        </w:rPr>
        <w:t>. A possibilidade de credenciamento de instituições financeiras não obriga o RPPS a aporta recursos.</w:t>
      </w:r>
    </w:p>
    <w:p w14:paraId="2C4E2566" w14:textId="77777777" w:rsidR="00ED7BAC" w:rsidRDefault="00ED7BAC"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3C9B80CC" w14:textId="3EAC547D" w:rsidR="00ED7BAC" w:rsidRDefault="006E088F" w:rsidP="006E088F">
      <w:pPr>
        <w:autoSpaceDE w:val="0"/>
        <w:autoSpaceDN w:val="0"/>
        <w:adjustRightInd w:val="0"/>
        <w:spacing w:after="0" w:line="360" w:lineRule="auto"/>
        <w:ind w:right="-568"/>
        <w:jc w:val="both"/>
        <w:rPr>
          <w:rFonts w:asciiTheme="minorHAnsi" w:hAnsiTheme="minorHAnsi" w:cstheme="minorHAnsi"/>
          <w:sz w:val="24"/>
          <w:szCs w:val="24"/>
          <w:lang w:eastAsia="pt-BR"/>
        </w:rPr>
      </w:pPr>
      <w:r>
        <w:rPr>
          <w:rFonts w:ascii="Calibri-Bold" w:hAnsi="Calibri-Bold" w:cs="Calibri-Bold"/>
          <w:b/>
          <w:bCs/>
          <w:sz w:val="28"/>
          <w:szCs w:val="28"/>
          <w:lang w:eastAsia="pt-BR"/>
        </w:rPr>
        <w:t>ORGANOGRAMA DA ESTRUTURA DA GESTÃO DE INVESTIMENTOS</w:t>
      </w:r>
      <w:r>
        <w:rPr>
          <w:rFonts w:ascii="Calibri-Bold" w:hAnsi="Calibri-Bold" w:cs="Calibri-Bold"/>
          <w:b/>
          <w:bCs/>
          <w:noProof/>
          <w:sz w:val="28"/>
          <w:szCs w:val="28"/>
          <w:lang w:eastAsia="pt-BR"/>
        </w:rPr>
        <w:drawing>
          <wp:inline distT="0" distB="0" distL="0" distR="0" wp14:anchorId="1C12354C" wp14:editId="0CCD651A">
            <wp:extent cx="5118100" cy="4419600"/>
            <wp:effectExtent l="0" t="0" r="0" b="0"/>
            <wp:docPr id="4250277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8100" cy="4419600"/>
                    </a:xfrm>
                    <a:prstGeom prst="rect">
                      <a:avLst/>
                    </a:prstGeom>
                    <a:noFill/>
                    <a:ln>
                      <a:noFill/>
                    </a:ln>
                  </pic:spPr>
                </pic:pic>
              </a:graphicData>
            </a:graphic>
          </wp:inline>
        </w:drawing>
      </w:r>
    </w:p>
    <w:p w14:paraId="4116E320" w14:textId="2D4C11EC" w:rsidR="003B52EB" w:rsidRPr="008B02D4" w:rsidRDefault="006E088F" w:rsidP="00B10783">
      <w:pPr>
        <w:pStyle w:val="Ttulo1"/>
        <w:numPr>
          <w:ilvl w:val="0"/>
          <w:numId w:val="4"/>
        </w:numPr>
        <w:spacing w:before="120" w:after="120" w:line="240" w:lineRule="auto"/>
        <w:ind w:left="0" w:right="-568" w:firstLine="851"/>
        <w:jc w:val="both"/>
        <w:rPr>
          <w:rFonts w:asciiTheme="minorHAnsi" w:hAnsiTheme="minorHAnsi" w:cstheme="minorHAnsi"/>
          <w:szCs w:val="24"/>
          <w:lang w:eastAsia="pt-BR"/>
        </w:rPr>
      </w:pPr>
      <w:bookmarkStart w:id="4" w:name="_Toc93910747"/>
      <w:r>
        <w:rPr>
          <w:rFonts w:asciiTheme="minorHAnsi" w:hAnsiTheme="minorHAnsi" w:cstheme="minorHAnsi"/>
          <w:szCs w:val="24"/>
          <w:lang w:eastAsia="pt-BR"/>
        </w:rPr>
        <w:lastRenderedPageBreak/>
        <w:t>C</w:t>
      </w:r>
      <w:r w:rsidR="003B52EB" w:rsidRPr="008B02D4">
        <w:rPr>
          <w:rFonts w:asciiTheme="minorHAnsi" w:hAnsiTheme="minorHAnsi" w:cstheme="minorHAnsi"/>
          <w:szCs w:val="24"/>
          <w:lang w:eastAsia="pt-BR"/>
        </w:rPr>
        <w:t>ritérios para a contratação de pessoas jurídicas</w:t>
      </w:r>
      <w:bookmarkEnd w:id="4"/>
    </w:p>
    <w:p w14:paraId="26140DDB" w14:textId="77777777" w:rsidR="003B52EB" w:rsidRPr="008B02D4" w:rsidRDefault="003B52EB" w:rsidP="00B03275">
      <w:pPr>
        <w:pStyle w:val="PargrafodaLista"/>
        <w:numPr>
          <w:ilvl w:val="0"/>
          <w:numId w:val="7"/>
        </w:numPr>
        <w:spacing w:after="0" w:line="360" w:lineRule="auto"/>
        <w:ind w:right="-568" w:firstLine="851"/>
        <w:rPr>
          <w:rFonts w:asciiTheme="minorHAnsi" w:hAnsiTheme="minorHAnsi" w:cstheme="minorHAnsi"/>
          <w:vanish/>
          <w:sz w:val="24"/>
          <w:szCs w:val="24"/>
        </w:rPr>
      </w:pPr>
    </w:p>
    <w:p w14:paraId="6A644C1E" w14:textId="77777777" w:rsidR="003B52EB" w:rsidRPr="008B02D4" w:rsidRDefault="003B52EB" w:rsidP="00B03275">
      <w:pPr>
        <w:pStyle w:val="PargrafodaLista"/>
        <w:numPr>
          <w:ilvl w:val="0"/>
          <w:numId w:val="7"/>
        </w:numPr>
        <w:spacing w:after="0" w:line="360" w:lineRule="auto"/>
        <w:ind w:right="-568" w:firstLine="851"/>
        <w:rPr>
          <w:rFonts w:asciiTheme="minorHAnsi" w:hAnsiTheme="minorHAnsi" w:cstheme="minorHAnsi"/>
          <w:vanish/>
          <w:sz w:val="24"/>
          <w:szCs w:val="24"/>
        </w:rPr>
      </w:pPr>
    </w:p>
    <w:p w14:paraId="24C918A1" w14:textId="77777777" w:rsidR="003B52EB" w:rsidRPr="008B02D4" w:rsidRDefault="003B52EB" w:rsidP="00B03275">
      <w:pPr>
        <w:pStyle w:val="PargrafodaLista"/>
        <w:numPr>
          <w:ilvl w:val="0"/>
          <w:numId w:val="7"/>
        </w:numPr>
        <w:spacing w:after="0" w:line="360" w:lineRule="auto"/>
        <w:ind w:right="-568" w:firstLine="851"/>
        <w:rPr>
          <w:rFonts w:asciiTheme="minorHAnsi" w:hAnsiTheme="minorHAnsi" w:cstheme="minorHAnsi"/>
          <w:vanish/>
          <w:sz w:val="24"/>
          <w:szCs w:val="24"/>
        </w:rPr>
      </w:pPr>
    </w:p>
    <w:p w14:paraId="51C2AA62" w14:textId="77777777" w:rsidR="003B52EB" w:rsidRPr="008B02D4" w:rsidRDefault="003B52EB" w:rsidP="00B03275">
      <w:pPr>
        <w:pStyle w:val="PargrafodaLista"/>
        <w:numPr>
          <w:ilvl w:val="0"/>
          <w:numId w:val="7"/>
        </w:numPr>
        <w:spacing w:after="0" w:line="360" w:lineRule="auto"/>
        <w:ind w:right="-568" w:firstLine="851"/>
        <w:rPr>
          <w:rFonts w:asciiTheme="minorHAnsi" w:hAnsiTheme="minorHAnsi" w:cstheme="minorHAnsi"/>
          <w:vanish/>
          <w:sz w:val="24"/>
          <w:szCs w:val="24"/>
        </w:rPr>
      </w:pPr>
    </w:p>
    <w:p w14:paraId="340F5FE6" w14:textId="77777777" w:rsidR="003B52EB" w:rsidRPr="008B02D4" w:rsidRDefault="003B52EB"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6DB12B76" w14:textId="18D95D82" w:rsidR="003B52EB" w:rsidRPr="008B02D4" w:rsidRDefault="003B52EB" w:rsidP="00B10783">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O regime próprio de previdência social deverá estabelecer os seguintes critérios mínimos para a contratação de pessoas jurídicas que desempenham atividade de avaliação de investimentos em valores mobiliários, conforme apresentado a seguir:</w:t>
      </w:r>
    </w:p>
    <w:p w14:paraId="65E4FD18" w14:textId="77777777" w:rsidR="00FE3590" w:rsidRPr="008B02D4" w:rsidRDefault="00FE3590" w:rsidP="00B10783">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0EC86EE5" w14:textId="56D57071" w:rsidR="003B52EB" w:rsidRPr="008B02D4" w:rsidRDefault="008746C4" w:rsidP="00B10783">
      <w:pPr>
        <w:pStyle w:val="PargrafodaLista"/>
        <w:numPr>
          <w:ilvl w:val="0"/>
          <w:numId w:val="26"/>
        </w:numPr>
        <w:autoSpaceDE w:val="0"/>
        <w:autoSpaceDN w:val="0"/>
        <w:adjustRightInd w:val="0"/>
        <w:spacing w:after="0" w:line="360" w:lineRule="auto"/>
        <w:ind w:left="0"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 S</w:t>
      </w:r>
      <w:r w:rsidR="003B52EB" w:rsidRPr="008B02D4">
        <w:rPr>
          <w:rFonts w:asciiTheme="minorHAnsi" w:hAnsiTheme="minorHAnsi" w:cstheme="minorHAnsi"/>
          <w:sz w:val="24"/>
          <w:szCs w:val="24"/>
          <w:lang w:eastAsia="pt-BR"/>
        </w:rPr>
        <w:t>er registradas, autorizadas ou credenciadas nos termos da regulamentação da Comissão de Valores Mobiliários, com a finalidade de produção de recomendações, relatórios de acompanhamento e estudos, que auxiliem no processo de formulação da política de investimento e de tomada de decisão de investimento.</w:t>
      </w:r>
    </w:p>
    <w:p w14:paraId="29F6375F" w14:textId="3BFD40B7" w:rsidR="00FE3590" w:rsidRPr="008B02D4" w:rsidRDefault="00FE3590" w:rsidP="00B10783">
      <w:pPr>
        <w:pStyle w:val="PargrafodaLista"/>
        <w:numPr>
          <w:ilvl w:val="0"/>
          <w:numId w:val="26"/>
        </w:numPr>
        <w:autoSpaceDE w:val="0"/>
        <w:autoSpaceDN w:val="0"/>
        <w:adjustRightInd w:val="0"/>
        <w:spacing w:after="0" w:line="360" w:lineRule="auto"/>
        <w:ind w:left="0"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Que os profissionais e consultores que atuam diretamente nas atividades de orientação, recomendação e aconselhamento comprovem possuírem no mínimo as certificações ANBIMA CEA, CGA, CPA e o registro de Consultor de Valores Mobiliários pessoa física.</w:t>
      </w:r>
    </w:p>
    <w:p w14:paraId="7DA88737" w14:textId="699D242F" w:rsidR="00FE3590" w:rsidRPr="008B02D4" w:rsidRDefault="00FE3590" w:rsidP="00B10783">
      <w:pPr>
        <w:pStyle w:val="PargrafodaLista"/>
        <w:numPr>
          <w:ilvl w:val="0"/>
          <w:numId w:val="26"/>
        </w:numPr>
        <w:autoSpaceDE w:val="0"/>
        <w:autoSpaceDN w:val="0"/>
        <w:adjustRightInd w:val="0"/>
        <w:spacing w:after="0" w:line="360" w:lineRule="auto"/>
        <w:ind w:left="0"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Que apresente em contrato social um Consultor de Valores Mobiliários como responsável pelas atividades da Consultoria de Valores Mobiliários;</w:t>
      </w:r>
    </w:p>
    <w:p w14:paraId="5CA1EC5F" w14:textId="564B3912" w:rsidR="00160786" w:rsidRPr="008B02D4" w:rsidRDefault="00160786" w:rsidP="00B10783">
      <w:pPr>
        <w:pStyle w:val="PargrafodaLista"/>
        <w:numPr>
          <w:ilvl w:val="0"/>
          <w:numId w:val="26"/>
        </w:numPr>
        <w:autoSpaceDE w:val="0"/>
        <w:autoSpaceDN w:val="0"/>
        <w:adjustRightInd w:val="0"/>
        <w:spacing w:after="0" w:line="360" w:lineRule="auto"/>
        <w:ind w:left="0"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Confirmação se a instituição adere a códigos de autorregulação e códigos de ética e conduta que incentivem boas práticas de mercado, transparência e padrões éticos na administração de carteira de valores mobiliários;</w:t>
      </w:r>
    </w:p>
    <w:p w14:paraId="637E7092" w14:textId="78FF5A34" w:rsidR="00BE5A1E" w:rsidRPr="00A806BA" w:rsidRDefault="00CD4EB0" w:rsidP="00A806BA">
      <w:pPr>
        <w:pStyle w:val="PargrafodaLista"/>
        <w:numPr>
          <w:ilvl w:val="0"/>
          <w:numId w:val="26"/>
        </w:numPr>
        <w:autoSpaceDE w:val="0"/>
        <w:autoSpaceDN w:val="0"/>
        <w:adjustRightInd w:val="0"/>
        <w:spacing w:after="0" w:line="360" w:lineRule="auto"/>
        <w:ind w:left="0"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Avaliação do histórico de atuação do prestador, incluindo a certificação de sua reputação ilibada.</w:t>
      </w:r>
    </w:p>
    <w:p w14:paraId="5FE6F6F3" w14:textId="28177F04" w:rsidR="003A4D73" w:rsidRDefault="003A4D73" w:rsidP="00B10783">
      <w:pPr>
        <w:pStyle w:val="Ttulo1"/>
        <w:numPr>
          <w:ilvl w:val="0"/>
          <w:numId w:val="4"/>
        </w:numPr>
        <w:spacing w:before="120" w:after="120" w:line="240" w:lineRule="auto"/>
        <w:ind w:left="0" w:right="-568" w:firstLine="851"/>
        <w:jc w:val="both"/>
        <w:rPr>
          <w:rFonts w:asciiTheme="minorHAnsi" w:hAnsiTheme="minorHAnsi" w:cstheme="minorHAnsi"/>
          <w:szCs w:val="24"/>
          <w:lang w:eastAsia="pt-BR"/>
        </w:rPr>
      </w:pPr>
      <w:bookmarkStart w:id="5" w:name="_Toc93910748"/>
      <w:r w:rsidRPr="008B02D4">
        <w:rPr>
          <w:rFonts w:asciiTheme="minorHAnsi" w:hAnsiTheme="minorHAnsi" w:cstheme="minorHAnsi"/>
          <w:szCs w:val="24"/>
          <w:lang w:eastAsia="pt-BR"/>
        </w:rPr>
        <w:t>Validade</w:t>
      </w:r>
      <w:bookmarkEnd w:id="5"/>
    </w:p>
    <w:p w14:paraId="32D83D17" w14:textId="77777777" w:rsidR="00A806BA" w:rsidRPr="00A806BA" w:rsidRDefault="00A806BA" w:rsidP="00A806BA">
      <w:pPr>
        <w:rPr>
          <w:lang w:eastAsia="pt-BR"/>
        </w:rPr>
      </w:pPr>
    </w:p>
    <w:p w14:paraId="4D098436" w14:textId="77777777" w:rsidR="003A4D73" w:rsidRPr="008B02D4" w:rsidRDefault="003A4D73" w:rsidP="00B10783">
      <w:pPr>
        <w:pStyle w:val="PargrafodaLista"/>
        <w:numPr>
          <w:ilvl w:val="0"/>
          <w:numId w:val="7"/>
        </w:numPr>
        <w:spacing w:after="0" w:line="360" w:lineRule="auto"/>
        <w:ind w:left="0" w:right="-568" w:firstLine="851"/>
        <w:rPr>
          <w:rFonts w:asciiTheme="minorHAnsi" w:hAnsiTheme="minorHAnsi" w:cstheme="minorHAnsi"/>
          <w:vanish/>
          <w:sz w:val="24"/>
          <w:szCs w:val="24"/>
        </w:rPr>
      </w:pPr>
    </w:p>
    <w:p w14:paraId="0F7A6801" w14:textId="77777777" w:rsidR="003A4D73" w:rsidRPr="008B02D4" w:rsidRDefault="003A4D73" w:rsidP="00B10783">
      <w:pPr>
        <w:pStyle w:val="PargrafodaLista"/>
        <w:numPr>
          <w:ilvl w:val="0"/>
          <w:numId w:val="7"/>
        </w:numPr>
        <w:spacing w:after="0" w:line="360" w:lineRule="auto"/>
        <w:ind w:left="0" w:right="-568" w:firstLine="851"/>
        <w:rPr>
          <w:rFonts w:asciiTheme="minorHAnsi" w:hAnsiTheme="minorHAnsi" w:cstheme="minorHAnsi"/>
          <w:vanish/>
          <w:sz w:val="24"/>
          <w:szCs w:val="24"/>
        </w:rPr>
      </w:pPr>
    </w:p>
    <w:p w14:paraId="739E6189" w14:textId="77777777" w:rsidR="003A4D73" w:rsidRPr="008B02D4" w:rsidRDefault="003A4D73" w:rsidP="00B10783">
      <w:pPr>
        <w:pStyle w:val="PargrafodaLista"/>
        <w:numPr>
          <w:ilvl w:val="0"/>
          <w:numId w:val="7"/>
        </w:numPr>
        <w:spacing w:after="0" w:line="360" w:lineRule="auto"/>
        <w:ind w:left="0" w:right="-568" w:firstLine="851"/>
        <w:rPr>
          <w:rFonts w:asciiTheme="minorHAnsi" w:hAnsiTheme="minorHAnsi" w:cstheme="minorHAnsi"/>
          <w:vanish/>
          <w:sz w:val="24"/>
          <w:szCs w:val="24"/>
        </w:rPr>
      </w:pPr>
    </w:p>
    <w:p w14:paraId="04A3734F" w14:textId="77777777" w:rsidR="003A4D73" w:rsidRPr="008B02D4" w:rsidRDefault="003A4D73" w:rsidP="00B10783">
      <w:pPr>
        <w:pStyle w:val="PargrafodaLista"/>
        <w:numPr>
          <w:ilvl w:val="0"/>
          <w:numId w:val="7"/>
        </w:numPr>
        <w:spacing w:after="0" w:line="360" w:lineRule="auto"/>
        <w:ind w:left="0" w:right="-568" w:firstLine="851"/>
        <w:rPr>
          <w:rFonts w:asciiTheme="minorHAnsi" w:hAnsiTheme="minorHAnsi" w:cstheme="minorHAnsi"/>
          <w:vanish/>
          <w:sz w:val="24"/>
          <w:szCs w:val="24"/>
        </w:rPr>
      </w:pPr>
    </w:p>
    <w:p w14:paraId="3A9CBD8A" w14:textId="3EE166CD" w:rsidR="003A4D73" w:rsidRPr="008B02D4" w:rsidRDefault="003A4D73" w:rsidP="00B10783">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A presente PAI – Política de Anual de Investimentos terá validade de </w:t>
      </w:r>
      <w:r w:rsidRPr="008B02D4">
        <w:rPr>
          <w:rFonts w:asciiTheme="minorHAnsi" w:hAnsiTheme="minorHAnsi" w:cstheme="minorHAnsi"/>
          <w:b/>
          <w:bCs/>
          <w:sz w:val="24"/>
          <w:szCs w:val="24"/>
          <w:lang w:eastAsia="pt-BR"/>
        </w:rPr>
        <w:t>01 de janeiro de 202</w:t>
      </w:r>
      <w:r w:rsidR="000C5AA4">
        <w:rPr>
          <w:rFonts w:asciiTheme="minorHAnsi" w:hAnsiTheme="minorHAnsi" w:cstheme="minorHAnsi"/>
          <w:b/>
          <w:bCs/>
          <w:sz w:val="24"/>
          <w:szCs w:val="24"/>
          <w:lang w:eastAsia="pt-BR"/>
        </w:rPr>
        <w:t>4</w:t>
      </w:r>
      <w:r w:rsidRPr="008B02D4">
        <w:rPr>
          <w:rFonts w:asciiTheme="minorHAnsi" w:hAnsiTheme="minorHAnsi" w:cstheme="minorHAnsi"/>
          <w:b/>
          <w:bCs/>
          <w:sz w:val="24"/>
          <w:szCs w:val="24"/>
          <w:lang w:eastAsia="pt-BR"/>
        </w:rPr>
        <w:t xml:space="preserve"> até dezembro de 202</w:t>
      </w:r>
      <w:r w:rsidR="000C5AA4">
        <w:rPr>
          <w:rFonts w:asciiTheme="minorHAnsi" w:hAnsiTheme="minorHAnsi" w:cstheme="minorHAnsi"/>
          <w:b/>
          <w:bCs/>
          <w:sz w:val="24"/>
          <w:szCs w:val="24"/>
          <w:lang w:eastAsia="pt-BR"/>
        </w:rPr>
        <w:t>4</w:t>
      </w:r>
      <w:r w:rsidRPr="008B02D4">
        <w:rPr>
          <w:rFonts w:asciiTheme="minorHAnsi" w:hAnsiTheme="minorHAnsi" w:cstheme="minorHAnsi"/>
          <w:sz w:val="24"/>
          <w:szCs w:val="24"/>
          <w:lang w:eastAsia="pt-BR"/>
        </w:rPr>
        <w:t>.</w:t>
      </w:r>
    </w:p>
    <w:p w14:paraId="19912F62" w14:textId="77777777" w:rsidR="00B10783" w:rsidRDefault="001E3988" w:rsidP="00B10783">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Durante este período, correções e alterações poderão ocorrer para adequar mudanças</w:t>
      </w:r>
      <w:r w:rsidR="003A4D73" w:rsidRPr="008B02D4">
        <w:rPr>
          <w:rFonts w:asciiTheme="minorHAnsi" w:hAnsiTheme="minorHAnsi" w:cstheme="minorHAnsi"/>
          <w:sz w:val="24"/>
          <w:szCs w:val="24"/>
          <w:lang w:eastAsia="pt-BR"/>
        </w:rPr>
        <w:t xml:space="preserve"> com vistas à adequação ao mercado ou à nova legislação. </w:t>
      </w:r>
    </w:p>
    <w:p w14:paraId="1C22A43F" w14:textId="22650C2F" w:rsidR="003A4D73" w:rsidRPr="008B02D4" w:rsidRDefault="003A4D73" w:rsidP="00B10783">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lastRenderedPageBreak/>
        <w:t xml:space="preserve">Na eventualidade de haver necessidade de revisão e/ ou </w:t>
      </w:r>
      <w:r w:rsidR="00DE762A" w:rsidRPr="008B02D4">
        <w:rPr>
          <w:rFonts w:asciiTheme="minorHAnsi" w:hAnsiTheme="minorHAnsi" w:cstheme="minorHAnsi"/>
          <w:sz w:val="24"/>
          <w:szCs w:val="24"/>
          <w:lang w:eastAsia="pt-BR"/>
        </w:rPr>
        <w:t>balanceamento</w:t>
      </w:r>
      <w:r w:rsidRPr="008B02D4">
        <w:rPr>
          <w:rFonts w:asciiTheme="minorHAnsi" w:hAnsiTheme="minorHAnsi" w:cstheme="minorHAnsi"/>
          <w:sz w:val="24"/>
          <w:szCs w:val="24"/>
          <w:lang w:eastAsia="pt-BR"/>
        </w:rPr>
        <w:t xml:space="preserve"> da Taxa de Desconto e/ ou do juro real componente da Meta Atuarial, do Diretor executivo atuará </w:t>
      </w:r>
      <w:r w:rsidR="0057046F" w:rsidRPr="008B02D4">
        <w:rPr>
          <w:rFonts w:asciiTheme="minorHAnsi" w:hAnsiTheme="minorHAnsi" w:cstheme="minorHAnsi"/>
          <w:sz w:val="24"/>
          <w:szCs w:val="24"/>
          <w:lang w:eastAsia="pt-BR"/>
        </w:rPr>
        <w:t>junto aos órgãos internos</w:t>
      </w:r>
      <w:r w:rsidRPr="008B02D4">
        <w:rPr>
          <w:rFonts w:asciiTheme="minorHAnsi" w:hAnsiTheme="minorHAnsi" w:cstheme="minorHAnsi"/>
          <w:sz w:val="24"/>
          <w:szCs w:val="24"/>
          <w:lang w:eastAsia="pt-BR"/>
        </w:rPr>
        <w:t xml:space="preserve"> que foram responsáveis pela aprovação/implantação da Política de Investimento. Antes de qualquer alteração da PAI do exercício vigente serão analisados se as alíquotas de contribuições e seus respectivos resultados motivados pela nova Taxa de Desconto estão ou não compatíveis com o equilíbrio financeiro e atuarial do RPPS, representadas na PAI pela meta atuarial.</w:t>
      </w:r>
    </w:p>
    <w:p w14:paraId="10175437" w14:textId="77777777" w:rsidR="003A4D73" w:rsidRPr="008B02D4" w:rsidRDefault="003A4D73" w:rsidP="00B03275">
      <w:pPr>
        <w:autoSpaceDE w:val="0"/>
        <w:autoSpaceDN w:val="0"/>
        <w:adjustRightInd w:val="0"/>
        <w:spacing w:before="120" w:after="120" w:line="240" w:lineRule="auto"/>
        <w:ind w:right="-568" w:firstLine="851"/>
        <w:jc w:val="both"/>
        <w:rPr>
          <w:rFonts w:asciiTheme="minorHAnsi" w:hAnsiTheme="minorHAnsi" w:cstheme="minorHAnsi"/>
          <w:sz w:val="24"/>
          <w:szCs w:val="24"/>
          <w:lang w:eastAsia="pt-BR"/>
        </w:rPr>
      </w:pPr>
    </w:p>
    <w:p w14:paraId="1CC06092" w14:textId="3001ED7B" w:rsidR="009E4180" w:rsidRPr="008B02D4" w:rsidRDefault="009E4180" w:rsidP="00B10783">
      <w:pPr>
        <w:pStyle w:val="PargrafodaLista"/>
        <w:numPr>
          <w:ilvl w:val="0"/>
          <w:numId w:val="4"/>
        </w:numPr>
        <w:autoSpaceDE w:val="0"/>
        <w:autoSpaceDN w:val="0"/>
        <w:adjustRightInd w:val="0"/>
        <w:spacing w:before="120" w:after="120" w:line="240" w:lineRule="auto"/>
        <w:ind w:left="0" w:right="-568" w:firstLine="851"/>
        <w:jc w:val="both"/>
        <w:rPr>
          <w:rFonts w:asciiTheme="minorHAnsi" w:hAnsiTheme="minorHAnsi" w:cstheme="minorHAnsi"/>
          <w:b/>
          <w:bCs/>
          <w:sz w:val="24"/>
          <w:szCs w:val="24"/>
          <w:lang w:eastAsia="pt-BR"/>
        </w:rPr>
      </w:pPr>
      <w:bookmarkStart w:id="6" w:name="_Toc93910749"/>
      <w:r w:rsidRPr="008B02D4">
        <w:rPr>
          <w:rStyle w:val="Ttulo1Char"/>
          <w:rFonts w:asciiTheme="minorHAnsi" w:hAnsiTheme="minorHAnsi" w:cstheme="minorHAnsi"/>
          <w:szCs w:val="24"/>
        </w:rPr>
        <w:t>Meta de Rentabilidade dos Investimentos</w:t>
      </w:r>
      <w:bookmarkEnd w:id="6"/>
    </w:p>
    <w:p w14:paraId="2CAFA1F3" w14:textId="77777777" w:rsidR="00D5474A" w:rsidRPr="008B02D4" w:rsidRDefault="00D5474A"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490E0F6E" w14:textId="0999A2F7" w:rsidR="004B0D4A" w:rsidRDefault="00981B7D"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981B7D">
        <w:rPr>
          <w:rFonts w:asciiTheme="minorHAnsi" w:hAnsiTheme="minorHAnsi" w:cstheme="minorHAnsi"/>
          <w:sz w:val="24"/>
          <w:szCs w:val="24"/>
          <w:lang w:eastAsia="pt-BR"/>
        </w:rPr>
        <w:t>A Taxa de Juros Real (Meta Atuarial) na Política de Investimento do exercício de 2023</w:t>
      </w:r>
      <w:r>
        <w:rPr>
          <w:rFonts w:asciiTheme="minorHAnsi" w:hAnsiTheme="minorHAnsi" w:cstheme="minorHAnsi"/>
          <w:sz w:val="24"/>
          <w:szCs w:val="24"/>
          <w:lang w:eastAsia="pt-BR"/>
        </w:rPr>
        <w:t xml:space="preserve"> </w:t>
      </w:r>
      <w:r w:rsidRPr="00981B7D">
        <w:rPr>
          <w:rFonts w:asciiTheme="minorHAnsi" w:hAnsiTheme="minorHAnsi" w:cstheme="minorHAnsi"/>
          <w:sz w:val="24"/>
          <w:szCs w:val="24"/>
          <w:lang w:eastAsia="pt-BR"/>
        </w:rPr>
        <w:t>deverá ser definida, através de cálculos da Duração do Passivo Previdenciário que seguirão uma</w:t>
      </w:r>
      <w:r>
        <w:rPr>
          <w:rFonts w:asciiTheme="minorHAnsi" w:hAnsiTheme="minorHAnsi" w:cstheme="minorHAnsi"/>
          <w:sz w:val="24"/>
          <w:szCs w:val="24"/>
          <w:lang w:eastAsia="pt-BR"/>
        </w:rPr>
        <w:t xml:space="preserve"> </w:t>
      </w:r>
      <w:r w:rsidRPr="00981B7D">
        <w:rPr>
          <w:rFonts w:asciiTheme="minorHAnsi" w:hAnsiTheme="minorHAnsi" w:cstheme="minorHAnsi"/>
          <w:sz w:val="24"/>
          <w:szCs w:val="24"/>
          <w:lang w:eastAsia="pt-BR"/>
        </w:rPr>
        <w:t>metodologia chamada Estrutura a Termo de Taxa de Juros Média, calculada sobre o Fluxo</w:t>
      </w:r>
      <w:r>
        <w:rPr>
          <w:rFonts w:asciiTheme="minorHAnsi" w:hAnsiTheme="minorHAnsi" w:cstheme="minorHAnsi"/>
          <w:sz w:val="24"/>
          <w:szCs w:val="24"/>
          <w:lang w:eastAsia="pt-BR"/>
        </w:rPr>
        <w:t xml:space="preserve"> </w:t>
      </w:r>
      <w:r w:rsidRPr="00981B7D">
        <w:rPr>
          <w:rFonts w:asciiTheme="minorHAnsi" w:hAnsiTheme="minorHAnsi" w:cstheme="minorHAnsi"/>
          <w:sz w:val="24"/>
          <w:szCs w:val="24"/>
          <w:lang w:eastAsia="pt-BR"/>
        </w:rPr>
        <w:t>Atuarial da Avaliação Atuarial, conforme a Portaria MTP nº 1.467/2022.</w:t>
      </w:r>
      <w:r>
        <w:rPr>
          <w:rFonts w:asciiTheme="minorHAnsi" w:hAnsiTheme="minorHAnsi" w:cstheme="minorHAnsi"/>
          <w:sz w:val="24"/>
          <w:szCs w:val="24"/>
          <w:lang w:eastAsia="pt-BR"/>
        </w:rPr>
        <w:t xml:space="preserve"> </w:t>
      </w:r>
      <w:r w:rsidR="004B0D4A" w:rsidRPr="008B02D4">
        <w:rPr>
          <w:rFonts w:asciiTheme="minorHAnsi" w:hAnsiTheme="minorHAnsi" w:cstheme="minorHAnsi"/>
          <w:sz w:val="24"/>
          <w:szCs w:val="24"/>
          <w:lang w:eastAsia="pt-BR"/>
        </w:rPr>
        <w:t xml:space="preserve">Este RPPS até a data da aprovação desta </w:t>
      </w:r>
      <w:r w:rsidR="008F08BD" w:rsidRPr="008B02D4">
        <w:rPr>
          <w:rFonts w:asciiTheme="minorHAnsi" w:hAnsiTheme="minorHAnsi" w:cstheme="minorHAnsi"/>
          <w:sz w:val="24"/>
          <w:szCs w:val="24"/>
          <w:lang w:eastAsia="pt-BR"/>
        </w:rPr>
        <w:t>Política</w:t>
      </w:r>
      <w:r w:rsidR="004B0D4A" w:rsidRPr="008B02D4">
        <w:rPr>
          <w:rFonts w:asciiTheme="minorHAnsi" w:hAnsiTheme="minorHAnsi" w:cstheme="minorHAnsi"/>
          <w:sz w:val="24"/>
          <w:szCs w:val="24"/>
          <w:lang w:eastAsia="pt-BR"/>
        </w:rPr>
        <w:t xml:space="preserve"> de Investimentos, </w:t>
      </w:r>
      <w:r w:rsidR="002567C8" w:rsidRPr="008B02D4">
        <w:rPr>
          <w:rFonts w:asciiTheme="minorHAnsi" w:hAnsiTheme="minorHAnsi" w:cstheme="minorHAnsi"/>
          <w:sz w:val="24"/>
          <w:szCs w:val="24"/>
          <w:lang w:eastAsia="pt-BR"/>
        </w:rPr>
        <w:t xml:space="preserve">analisou as projeções do mercado para a inflação e taxa básica de juros para o ano de </w:t>
      </w:r>
      <w:r w:rsidR="002567C8" w:rsidRPr="008B02D4">
        <w:rPr>
          <w:rFonts w:asciiTheme="minorHAnsi" w:hAnsiTheme="minorHAnsi" w:cstheme="minorHAnsi"/>
          <w:b/>
          <w:bCs/>
          <w:sz w:val="24"/>
          <w:szCs w:val="24"/>
          <w:lang w:eastAsia="pt-BR"/>
        </w:rPr>
        <w:t>202</w:t>
      </w:r>
      <w:r>
        <w:rPr>
          <w:rFonts w:asciiTheme="minorHAnsi" w:hAnsiTheme="minorHAnsi" w:cstheme="minorHAnsi"/>
          <w:b/>
          <w:bCs/>
          <w:sz w:val="24"/>
          <w:szCs w:val="24"/>
          <w:lang w:eastAsia="pt-BR"/>
        </w:rPr>
        <w:t>4</w:t>
      </w:r>
      <w:r w:rsidR="002567C8" w:rsidRPr="008B02D4">
        <w:rPr>
          <w:rFonts w:asciiTheme="minorHAnsi" w:hAnsiTheme="minorHAnsi" w:cstheme="minorHAnsi"/>
          <w:sz w:val="24"/>
          <w:szCs w:val="24"/>
          <w:lang w:eastAsia="pt-BR"/>
        </w:rPr>
        <w:t>, fundamentadas através do relatório FOCUS, do Banco Central do Brasil.</w:t>
      </w:r>
    </w:p>
    <w:p w14:paraId="1AAB4D51" w14:textId="0D32E1EB" w:rsidR="00DF630D" w:rsidRDefault="00C4025D" w:rsidP="00B10783">
      <w:pPr>
        <w:pStyle w:val="dou-paragraph"/>
        <w:spacing w:after="150" w:afterAutospacing="0" w:line="360" w:lineRule="auto"/>
        <w:ind w:right="-568" w:firstLine="851"/>
        <w:jc w:val="both"/>
        <w:rPr>
          <w:rFonts w:ascii="Arial" w:hAnsi="Arial" w:cs="Arial"/>
          <w:color w:val="162937"/>
        </w:rPr>
      </w:pPr>
      <w:r w:rsidRPr="00C4025D">
        <w:rPr>
          <w:rFonts w:asciiTheme="minorHAnsi" w:hAnsiTheme="minorHAnsi" w:cstheme="minorHAnsi"/>
        </w:rPr>
        <w:t xml:space="preserve">Conforme Portaria MTP </w:t>
      </w:r>
      <w:r w:rsidR="00DF630D">
        <w:rPr>
          <w:rFonts w:asciiTheme="minorHAnsi" w:hAnsiTheme="minorHAnsi" w:cstheme="minorHAnsi"/>
        </w:rPr>
        <w:t>3</w:t>
      </w:r>
      <w:r w:rsidRPr="00C4025D">
        <w:rPr>
          <w:rFonts w:asciiTheme="minorHAnsi" w:hAnsiTheme="minorHAnsi" w:cstheme="minorHAnsi"/>
        </w:rPr>
        <w:t>.</w:t>
      </w:r>
      <w:r w:rsidR="00DF630D">
        <w:rPr>
          <w:rFonts w:asciiTheme="minorHAnsi" w:hAnsiTheme="minorHAnsi" w:cstheme="minorHAnsi"/>
        </w:rPr>
        <w:t xml:space="preserve">289 de 23 de agosto de </w:t>
      </w:r>
      <w:r w:rsidRPr="00C4025D">
        <w:rPr>
          <w:rFonts w:asciiTheme="minorHAnsi" w:hAnsiTheme="minorHAnsi" w:cstheme="minorHAnsi"/>
        </w:rPr>
        <w:t>202</w:t>
      </w:r>
      <w:r w:rsidR="00DF630D">
        <w:rPr>
          <w:rFonts w:asciiTheme="minorHAnsi" w:hAnsiTheme="minorHAnsi" w:cstheme="minorHAnsi"/>
        </w:rPr>
        <w:t>3</w:t>
      </w:r>
      <w:r w:rsidRPr="00C4025D">
        <w:rPr>
          <w:rFonts w:asciiTheme="minorHAnsi" w:hAnsiTheme="minorHAnsi" w:cstheme="minorHAnsi"/>
        </w:rPr>
        <w:t>, para definição da</w:t>
      </w:r>
      <w:r w:rsidR="00DF630D">
        <w:rPr>
          <w:rFonts w:asciiTheme="minorHAnsi" w:hAnsiTheme="minorHAnsi" w:cstheme="minorHAnsi"/>
        </w:rPr>
        <w:t xml:space="preserve"> </w:t>
      </w:r>
      <w:r w:rsidRPr="00C4025D">
        <w:rPr>
          <w:rFonts w:asciiTheme="minorHAnsi" w:hAnsiTheme="minorHAnsi" w:cstheme="minorHAnsi"/>
        </w:rPr>
        <w:t>hipótese da taxa de juros real nas avaliações atuariais dos exercícios a partir de 202</w:t>
      </w:r>
      <w:r w:rsidR="00DF630D">
        <w:rPr>
          <w:rFonts w:asciiTheme="minorHAnsi" w:hAnsiTheme="minorHAnsi" w:cstheme="minorHAnsi"/>
        </w:rPr>
        <w:t>4</w:t>
      </w:r>
      <w:r w:rsidRPr="00C4025D">
        <w:rPr>
          <w:rFonts w:asciiTheme="minorHAnsi" w:hAnsiTheme="minorHAnsi" w:cstheme="minorHAnsi"/>
        </w:rPr>
        <w:t xml:space="preserve"> deverão</w:t>
      </w:r>
      <w:r>
        <w:rPr>
          <w:rFonts w:asciiTheme="minorHAnsi" w:hAnsiTheme="minorHAnsi" w:cstheme="minorHAnsi"/>
        </w:rPr>
        <w:t xml:space="preserve"> </w:t>
      </w:r>
      <w:r w:rsidRPr="00C4025D">
        <w:rPr>
          <w:rFonts w:asciiTheme="minorHAnsi" w:hAnsiTheme="minorHAnsi" w:cstheme="minorHAnsi"/>
        </w:rPr>
        <w:t xml:space="preserve">ser utilizadas as taxas de juros parâmetro estabelecidas de acordo com o art. </w:t>
      </w:r>
      <w:r w:rsidR="00DF630D">
        <w:rPr>
          <w:rFonts w:asciiTheme="minorHAnsi" w:hAnsiTheme="minorHAnsi" w:cstheme="minorHAnsi"/>
        </w:rPr>
        <w:t>4</w:t>
      </w:r>
      <w:r w:rsidRPr="00C4025D">
        <w:rPr>
          <w:rFonts w:asciiTheme="minorHAnsi" w:hAnsiTheme="minorHAnsi" w:cstheme="minorHAnsi"/>
        </w:rPr>
        <w:t>º</w:t>
      </w:r>
      <w:r w:rsidR="00DF630D">
        <w:rPr>
          <w:rFonts w:asciiTheme="minorHAnsi" w:hAnsiTheme="minorHAnsi" w:cstheme="minorHAnsi"/>
        </w:rPr>
        <w:t>.</w:t>
      </w:r>
      <w:r w:rsidR="00DF630D">
        <w:rPr>
          <w:rFonts w:asciiTheme="minorHAnsi" w:hAnsiTheme="minorHAnsi" w:cstheme="minorHAnsi"/>
        </w:rPr>
        <w:softHyphen/>
      </w:r>
      <w:r w:rsidR="00DF630D">
        <w:rPr>
          <w:rFonts w:asciiTheme="minorHAnsi" w:hAnsiTheme="minorHAnsi" w:cstheme="minorHAnsi"/>
        </w:rPr>
        <w:softHyphen/>
      </w:r>
      <w:r w:rsidR="00DF630D" w:rsidRPr="00DF630D">
        <w:rPr>
          <w:rFonts w:ascii="Arial" w:hAnsi="Arial" w:cs="Arial"/>
          <w:color w:val="162937"/>
        </w:rPr>
        <w:t xml:space="preserve"> </w:t>
      </w:r>
    </w:p>
    <w:p w14:paraId="66C545F5" w14:textId="40F9812F" w:rsidR="00B10783" w:rsidRPr="00B10783" w:rsidRDefault="00B10783" w:rsidP="00B10783">
      <w:pPr>
        <w:pStyle w:val="dou-paragraph"/>
        <w:spacing w:after="150" w:afterAutospacing="0"/>
        <w:ind w:right="-568" w:firstLine="851"/>
        <w:rPr>
          <w:rFonts w:ascii="Arial" w:hAnsi="Arial" w:cs="Arial"/>
          <w:b/>
          <w:bCs/>
          <w:color w:val="162937"/>
          <w:sz w:val="16"/>
          <w:szCs w:val="16"/>
        </w:rPr>
      </w:pPr>
      <w:r w:rsidRPr="00B10783">
        <w:rPr>
          <w:rFonts w:ascii="Arial" w:hAnsi="Arial" w:cs="Arial"/>
          <w:b/>
          <w:bCs/>
          <w:color w:val="162937"/>
        </w:rPr>
        <w:t xml:space="preserve">                        Art. 4° da portaria 3.289/2023</w:t>
      </w:r>
    </w:p>
    <w:tbl>
      <w:tblPr>
        <w:tblW w:w="8523" w:type="dxa"/>
        <w:tblCellMar>
          <w:top w:w="15" w:type="dxa"/>
          <w:left w:w="15" w:type="dxa"/>
          <w:bottom w:w="15" w:type="dxa"/>
          <w:right w:w="15" w:type="dxa"/>
        </w:tblCellMar>
        <w:tblLook w:val="04A0" w:firstRow="1" w:lastRow="0" w:firstColumn="1" w:lastColumn="0" w:noHBand="0" w:noVBand="1"/>
      </w:tblPr>
      <w:tblGrid>
        <w:gridCol w:w="2553"/>
        <w:gridCol w:w="2707"/>
        <w:gridCol w:w="3263"/>
      </w:tblGrid>
      <w:tr w:rsidR="00B10783" w:rsidRPr="00DF630D" w14:paraId="0F29C07B" w14:textId="77777777" w:rsidTr="00B10783">
        <w:trPr>
          <w:trHeight w:val="342"/>
        </w:trPr>
        <w:tc>
          <w:tcPr>
            <w:tcW w:w="2553" w:type="dxa"/>
            <w:tcBorders>
              <w:top w:val="single" w:sz="6" w:space="0" w:color="999999"/>
              <w:left w:val="single" w:sz="6" w:space="0" w:color="999999"/>
              <w:bottom w:val="single" w:sz="6" w:space="0" w:color="999999"/>
              <w:right w:val="single" w:sz="6" w:space="0" w:color="999999"/>
            </w:tcBorders>
            <w:shd w:val="clear" w:color="auto" w:fill="1F3864" w:themeFill="accent1" w:themeFillShade="80"/>
            <w:tcMar>
              <w:top w:w="45" w:type="dxa"/>
              <w:left w:w="45" w:type="dxa"/>
              <w:bottom w:w="45" w:type="dxa"/>
              <w:right w:w="45" w:type="dxa"/>
            </w:tcMar>
            <w:vAlign w:val="center"/>
            <w:hideMark/>
          </w:tcPr>
          <w:p w14:paraId="2D312264" w14:textId="77777777" w:rsidR="00B10783" w:rsidRPr="00B10783" w:rsidRDefault="00DF630D" w:rsidP="00B10783">
            <w:pPr>
              <w:spacing w:after="0" w:line="240" w:lineRule="auto"/>
              <w:ind w:right="-568"/>
              <w:rPr>
                <w:rFonts w:ascii="Arial" w:eastAsia="Times New Roman" w:hAnsi="Arial" w:cs="Arial"/>
                <w:b/>
                <w:bCs/>
                <w:color w:val="FFFFFF" w:themeColor="background1"/>
                <w:sz w:val="16"/>
                <w:szCs w:val="16"/>
                <w:lang w:eastAsia="pt-BR"/>
              </w:rPr>
            </w:pPr>
            <w:r w:rsidRPr="00DF630D">
              <w:rPr>
                <w:rFonts w:ascii="Arial" w:eastAsia="Times New Roman" w:hAnsi="Arial" w:cs="Arial"/>
                <w:b/>
                <w:bCs/>
                <w:color w:val="FFFFFF" w:themeColor="background1"/>
                <w:sz w:val="16"/>
                <w:szCs w:val="16"/>
                <w:lang w:eastAsia="pt-BR"/>
              </w:rPr>
              <w:t>Pontos da duração do passivo</w:t>
            </w:r>
          </w:p>
          <w:p w14:paraId="38C1CBA2" w14:textId="6DE60A97" w:rsidR="00DF630D" w:rsidRPr="00DF630D" w:rsidRDefault="00DF630D" w:rsidP="00B10783">
            <w:pPr>
              <w:spacing w:after="0" w:line="240" w:lineRule="auto"/>
              <w:ind w:right="-568"/>
              <w:rPr>
                <w:rFonts w:ascii="Arial" w:eastAsia="Times New Roman" w:hAnsi="Arial" w:cs="Arial"/>
                <w:b/>
                <w:bCs/>
                <w:color w:val="FFFFFF" w:themeColor="background1"/>
                <w:sz w:val="16"/>
                <w:szCs w:val="16"/>
                <w:lang w:eastAsia="pt-BR"/>
              </w:rPr>
            </w:pPr>
            <w:r w:rsidRPr="00DF630D">
              <w:rPr>
                <w:rFonts w:ascii="Arial" w:eastAsia="Times New Roman" w:hAnsi="Arial" w:cs="Arial"/>
                <w:b/>
                <w:bCs/>
                <w:color w:val="FFFFFF" w:themeColor="background1"/>
                <w:sz w:val="16"/>
                <w:szCs w:val="16"/>
                <w:lang w:eastAsia="pt-BR"/>
              </w:rPr>
              <w:t xml:space="preserve"> (em anos)</w:t>
            </w:r>
          </w:p>
        </w:tc>
        <w:tc>
          <w:tcPr>
            <w:tcW w:w="5970" w:type="dxa"/>
            <w:gridSpan w:val="2"/>
            <w:tcBorders>
              <w:top w:val="single" w:sz="6" w:space="0" w:color="999999"/>
              <w:left w:val="single" w:sz="6" w:space="0" w:color="999999"/>
              <w:bottom w:val="single" w:sz="6" w:space="0" w:color="999999"/>
              <w:right w:val="single" w:sz="6" w:space="0" w:color="999999"/>
            </w:tcBorders>
            <w:shd w:val="clear" w:color="auto" w:fill="1F3864" w:themeFill="accent1" w:themeFillShade="80"/>
            <w:tcMar>
              <w:top w:w="45" w:type="dxa"/>
              <w:left w:w="45" w:type="dxa"/>
              <w:bottom w:w="45" w:type="dxa"/>
              <w:right w:w="45" w:type="dxa"/>
            </w:tcMar>
            <w:vAlign w:val="center"/>
            <w:hideMark/>
          </w:tcPr>
          <w:p w14:paraId="7DADC9F5" w14:textId="77777777" w:rsidR="00DF630D" w:rsidRPr="00DF630D" w:rsidRDefault="00DF630D" w:rsidP="00B10783">
            <w:pPr>
              <w:spacing w:after="0" w:line="240" w:lineRule="auto"/>
              <w:ind w:right="-568"/>
              <w:rPr>
                <w:rFonts w:ascii="Arial" w:eastAsia="Times New Roman" w:hAnsi="Arial" w:cs="Arial"/>
                <w:b/>
                <w:bCs/>
                <w:color w:val="FFFFFF" w:themeColor="background1"/>
                <w:sz w:val="16"/>
                <w:szCs w:val="16"/>
                <w:lang w:eastAsia="pt-BR"/>
              </w:rPr>
            </w:pPr>
            <w:r w:rsidRPr="00DF630D">
              <w:rPr>
                <w:rFonts w:ascii="Arial" w:eastAsia="Times New Roman" w:hAnsi="Arial" w:cs="Arial"/>
                <w:b/>
                <w:bCs/>
                <w:color w:val="FFFFFF" w:themeColor="background1"/>
                <w:sz w:val="16"/>
                <w:szCs w:val="16"/>
                <w:lang w:eastAsia="pt-BR"/>
              </w:rPr>
              <w:t>Taxa de Juros Parâmetro (% a.a.) para as avaliações atuariais dos RPPS dos seguintes exercícios:</w:t>
            </w:r>
          </w:p>
        </w:tc>
      </w:tr>
      <w:tr w:rsidR="00B10783" w:rsidRPr="00DF630D" w14:paraId="5F103D00"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shd w:val="clear" w:color="auto" w:fill="D0CECE" w:themeFill="background2" w:themeFillShade="E6"/>
            <w:tcMar>
              <w:top w:w="45" w:type="dxa"/>
              <w:left w:w="45" w:type="dxa"/>
              <w:bottom w:w="45" w:type="dxa"/>
              <w:right w:w="45" w:type="dxa"/>
            </w:tcMar>
            <w:vAlign w:val="center"/>
            <w:hideMark/>
          </w:tcPr>
          <w:p w14:paraId="4FC9E78E" w14:textId="77777777" w:rsidR="00DF630D" w:rsidRPr="00DF630D" w:rsidRDefault="00DF630D" w:rsidP="00B03275">
            <w:pPr>
              <w:spacing w:after="0" w:line="240" w:lineRule="auto"/>
              <w:ind w:right="-568" w:firstLine="851"/>
              <w:rPr>
                <w:rFonts w:ascii="Arial" w:eastAsia="Times New Roman" w:hAnsi="Arial" w:cs="Arial"/>
                <w:color w:val="162937"/>
                <w:sz w:val="16"/>
                <w:szCs w:val="16"/>
                <w:lang w:eastAsia="pt-BR"/>
              </w:rPr>
            </w:pPr>
          </w:p>
        </w:tc>
        <w:tc>
          <w:tcPr>
            <w:tcW w:w="2707" w:type="dxa"/>
            <w:tcBorders>
              <w:top w:val="single" w:sz="6" w:space="0" w:color="999999"/>
              <w:left w:val="single" w:sz="6" w:space="0" w:color="999999"/>
              <w:bottom w:val="single" w:sz="6" w:space="0" w:color="999999"/>
              <w:right w:val="single" w:sz="6" w:space="0" w:color="999999"/>
            </w:tcBorders>
            <w:shd w:val="clear" w:color="auto" w:fill="D0CECE" w:themeFill="background2" w:themeFillShade="E6"/>
            <w:tcMar>
              <w:top w:w="45" w:type="dxa"/>
              <w:left w:w="45" w:type="dxa"/>
              <w:bottom w:w="45" w:type="dxa"/>
              <w:right w:w="45" w:type="dxa"/>
            </w:tcMar>
            <w:vAlign w:val="center"/>
            <w:hideMark/>
          </w:tcPr>
          <w:p w14:paraId="0FC50742" w14:textId="77777777" w:rsidR="00DF630D" w:rsidRPr="00DF630D" w:rsidRDefault="00DF630D" w:rsidP="00B03275">
            <w:pPr>
              <w:spacing w:after="0" w:line="240" w:lineRule="auto"/>
              <w:ind w:right="-568" w:firstLine="851"/>
              <w:rPr>
                <w:rFonts w:ascii="Arial" w:eastAsia="Times New Roman" w:hAnsi="Arial" w:cs="Arial"/>
                <w:b/>
                <w:bCs/>
                <w:color w:val="162937"/>
                <w:sz w:val="16"/>
                <w:szCs w:val="16"/>
                <w:lang w:eastAsia="pt-BR"/>
              </w:rPr>
            </w:pPr>
            <w:r w:rsidRPr="00DF630D">
              <w:rPr>
                <w:rFonts w:ascii="Arial" w:eastAsia="Times New Roman" w:hAnsi="Arial" w:cs="Arial"/>
                <w:b/>
                <w:bCs/>
                <w:color w:val="162937"/>
                <w:sz w:val="16"/>
                <w:szCs w:val="16"/>
                <w:lang w:eastAsia="pt-BR"/>
              </w:rPr>
              <w:t>2023</w:t>
            </w:r>
          </w:p>
        </w:tc>
        <w:tc>
          <w:tcPr>
            <w:tcW w:w="0" w:type="auto"/>
            <w:tcBorders>
              <w:top w:val="single" w:sz="6" w:space="0" w:color="999999"/>
              <w:left w:val="single" w:sz="6" w:space="0" w:color="999999"/>
              <w:bottom w:val="single" w:sz="6" w:space="0" w:color="999999"/>
              <w:right w:val="single" w:sz="6" w:space="0" w:color="999999"/>
            </w:tcBorders>
            <w:shd w:val="clear" w:color="auto" w:fill="D0CECE" w:themeFill="background2" w:themeFillShade="E6"/>
            <w:tcMar>
              <w:top w:w="45" w:type="dxa"/>
              <w:left w:w="45" w:type="dxa"/>
              <w:bottom w:w="45" w:type="dxa"/>
              <w:right w:w="45" w:type="dxa"/>
            </w:tcMar>
            <w:vAlign w:val="center"/>
            <w:hideMark/>
          </w:tcPr>
          <w:p w14:paraId="14B42C32" w14:textId="77777777" w:rsidR="00DF630D" w:rsidRPr="00DF630D" w:rsidRDefault="00DF630D" w:rsidP="00B03275">
            <w:pPr>
              <w:spacing w:after="0" w:line="240" w:lineRule="auto"/>
              <w:ind w:right="-568" w:firstLine="851"/>
              <w:rPr>
                <w:rFonts w:ascii="Arial" w:eastAsia="Times New Roman" w:hAnsi="Arial" w:cs="Arial"/>
                <w:b/>
                <w:bCs/>
                <w:color w:val="162937"/>
                <w:sz w:val="16"/>
                <w:szCs w:val="16"/>
                <w:lang w:eastAsia="pt-BR"/>
              </w:rPr>
            </w:pPr>
            <w:r w:rsidRPr="00DF630D">
              <w:rPr>
                <w:rFonts w:ascii="Arial" w:eastAsia="Times New Roman" w:hAnsi="Arial" w:cs="Arial"/>
                <w:b/>
                <w:bCs/>
                <w:color w:val="162937"/>
                <w:sz w:val="16"/>
                <w:szCs w:val="16"/>
                <w:lang w:eastAsia="pt-BR"/>
              </w:rPr>
              <w:t>2024</w:t>
            </w:r>
          </w:p>
        </w:tc>
      </w:tr>
      <w:tr w:rsidR="00B10783" w:rsidRPr="00B10783" w14:paraId="7433044E"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0103BE"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F94239"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2,09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76E795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2,72</w:t>
            </w:r>
          </w:p>
        </w:tc>
      </w:tr>
      <w:tr w:rsidR="00B10783" w:rsidRPr="00B10783" w14:paraId="20C2B4A4"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391986"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9506D0"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2,48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33514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3,04</w:t>
            </w:r>
          </w:p>
        </w:tc>
      </w:tr>
      <w:tr w:rsidR="00B10783" w:rsidRPr="00B10783" w14:paraId="072825C6"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98BDD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6B8894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2,86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078036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3,32</w:t>
            </w:r>
          </w:p>
        </w:tc>
      </w:tr>
      <w:tr w:rsidR="00B10783" w:rsidRPr="00B10783" w14:paraId="689E1340"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3DC0B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18327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1558362"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3,54</w:t>
            </w:r>
          </w:p>
        </w:tc>
      </w:tr>
      <w:tr w:rsidR="00B10783" w:rsidRPr="00B10783" w14:paraId="78863101"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55777D"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D5A5D7"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48021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3,71</w:t>
            </w:r>
          </w:p>
        </w:tc>
      </w:tr>
      <w:tr w:rsidR="00B10783" w:rsidRPr="00B10783" w14:paraId="37D45ADB"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12FA15"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610E83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3,60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1AA92F3"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3,85</w:t>
            </w:r>
          </w:p>
        </w:tc>
      </w:tr>
      <w:tr w:rsidR="00B10783" w:rsidRPr="00B10783" w14:paraId="2CF17C20"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8AE50A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lastRenderedPageBreak/>
              <w:t>4,00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5939B7"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3,75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07DE8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3,97</w:t>
            </w:r>
          </w:p>
        </w:tc>
      </w:tr>
      <w:tr w:rsidR="00B10783" w:rsidRPr="00B10783" w14:paraId="642BAA18"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733AB3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3D5EA3"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3,87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1646961"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4,07</w:t>
            </w:r>
          </w:p>
        </w:tc>
      </w:tr>
      <w:tr w:rsidR="00B10783" w:rsidRPr="00B10783" w14:paraId="195F446C"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293E3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5,00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44F2F1"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3,96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28C01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4,15</w:t>
            </w:r>
          </w:p>
        </w:tc>
      </w:tr>
      <w:tr w:rsidR="00B10783" w:rsidRPr="00B10783" w14:paraId="6056041F"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D0B0E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5,50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20A886"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4,05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EE0581"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4,22</w:t>
            </w:r>
          </w:p>
        </w:tc>
      </w:tr>
      <w:tr w:rsidR="00B10783" w:rsidRPr="00B10783" w14:paraId="17FD1F6D"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EE9066E"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6,00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CA89CC1"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925614"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4,29</w:t>
            </w:r>
          </w:p>
        </w:tc>
      </w:tr>
      <w:tr w:rsidR="00B10783" w:rsidRPr="00B10783" w14:paraId="62DD6AB3"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4AB4A20"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6,50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A4789F0"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838DA2"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4,34</w:t>
            </w:r>
          </w:p>
        </w:tc>
      </w:tr>
      <w:tr w:rsidR="00B10783" w:rsidRPr="00B10783" w14:paraId="6D5FB7F6"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3532F9D"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7,00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9568B0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206216"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4,39</w:t>
            </w:r>
          </w:p>
        </w:tc>
      </w:tr>
      <w:tr w:rsidR="00B10783" w:rsidRPr="00B10783" w14:paraId="051CB2BE"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214DA2"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7,50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ABFDAA"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2F5D5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4,44</w:t>
            </w:r>
          </w:p>
        </w:tc>
      </w:tr>
      <w:tr w:rsidR="00B10783" w:rsidRPr="00B10783" w14:paraId="7A25A0C3"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901D839"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8,00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6D0DB33"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4,33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75FADB"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4,48</w:t>
            </w:r>
          </w:p>
        </w:tc>
      </w:tr>
      <w:tr w:rsidR="00B10783" w:rsidRPr="00B10783" w14:paraId="733DA2EA"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9546B0"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8,50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C58C81"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4,36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ABFE0A"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4,52</w:t>
            </w:r>
          </w:p>
        </w:tc>
      </w:tr>
      <w:tr w:rsidR="00B10783" w:rsidRPr="00B10783" w14:paraId="3553E29C"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9FF0A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9,00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8E11ED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4,40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F694A4A"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4,55</w:t>
            </w:r>
          </w:p>
        </w:tc>
      </w:tr>
      <w:tr w:rsidR="00B10783" w:rsidRPr="00B10783" w14:paraId="6FB030E7"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E293989"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9,50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9125D2"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4,43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164B63D"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4,58</w:t>
            </w:r>
          </w:p>
        </w:tc>
      </w:tr>
      <w:tr w:rsidR="00B10783" w:rsidRPr="00B10783" w14:paraId="51F04C8A"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550F997"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10,00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83F072"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4,46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6AC100B"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4,61</w:t>
            </w:r>
          </w:p>
        </w:tc>
      </w:tr>
      <w:tr w:rsidR="00B10783" w:rsidRPr="00B10783" w14:paraId="07BF922D"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B51C1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10,50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10406B5"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4,49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8231DB"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4,64</w:t>
            </w:r>
          </w:p>
        </w:tc>
      </w:tr>
      <w:tr w:rsidR="00B10783" w:rsidRPr="00B10783" w14:paraId="38445B1C"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578650"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11,00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7C88D3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4,51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DE753B"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4,66</w:t>
            </w:r>
          </w:p>
        </w:tc>
      </w:tr>
      <w:tr w:rsidR="00B10783" w:rsidRPr="00B10783" w14:paraId="186603F4"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68129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11,50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9F2240"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4,53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F1A579"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4,68</w:t>
            </w:r>
          </w:p>
        </w:tc>
      </w:tr>
      <w:tr w:rsidR="00B10783" w:rsidRPr="00B10783" w14:paraId="295CE97F"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B2635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12,00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9A9159"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4,56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C6BD66"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4,71</w:t>
            </w:r>
          </w:p>
        </w:tc>
      </w:tr>
      <w:tr w:rsidR="00B10783" w:rsidRPr="00B10783" w14:paraId="543CB4DC"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C7665DB"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12,50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52E6FA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4,58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7E457E"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4,73</w:t>
            </w:r>
          </w:p>
        </w:tc>
      </w:tr>
      <w:tr w:rsidR="00B10783" w:rsidRPr="00B10783" w14:paraId="413FD5E7"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F33DB4"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13,00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992FDC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4,59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1F9263"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4,75</w:t>
            </w:r>
          </w:p>
        </w:tc>
      </w:tr>
      <w:tr w:rsidR="00B10783" w:rsidRPr="00B10783" w14:paraId="2F785D41"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8FDD503"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13,50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E1A29D"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4,61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2848AA"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4,76</w:t>
            </w:r>
          </w:p>
        </w:tc>
      </w:tr>
      <w:tr w:rsidR="00B10783" w:rsidRPr="00B10783" w14:paraId="76970D29"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9E42A2"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14,00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6F0749"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4,63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774B7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4,78</w:t>
            </w:r>
          </w:p>
        </w:tc>
      </w:tr>
      <w:tr w:rsidR="00B10783" w:rsidRPr="00B10783" w14:paraId="5399756B"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E0E48B"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14,50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AC6BB6"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4,64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ACD5F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4,79</w:t>
            </w:r>
          </w:p>
        </w:tc>
      </w:tr>
      <w:tr w:rsidR="00B10783" w:rsidRPr="00B10783" w14:paraId="4B114446"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3A5A1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15,00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A01F57"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4,66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7DF42C4"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4,81</w:t>
            </w:r>
          </w:p>
        </w:tc>
      </w:tr>
      <w:tr w:rsidR="00B10783" w:rsidRPr="00B10783" w14:paraId="3B9636C0"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7520F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15,50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7FC23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4,67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4B4B5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4,82</w:t>
            </w:r>
          </w:p>
        </w:tc>
      </w:tr>
      <w:tr w:rsidR="00B10783" w:rsidRPr="00B10783" w14:paraId="694648C4"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BF3E0B"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16,00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FBBDAC1"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4,68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4C3DEC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4,84</w:t>
            </w:r>
          </w:p>
        </w:tc>
      </w:tr>
      <w:tr w:rsidR="00B10783" w:rsidRPr="00B10783" w14:paraId="267FE156"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8626430"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16,50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1AA6F3E"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7A3CE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4,85</w:t>
            </w:r>
          </w:p>
        </w:tc>
      </w:tr>
      <w:tr w:rsidR="00B10783" w:rsidRPr="00B10783" w14:paraId="36A91C76"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2F4622D"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17,00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467248D"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3F204A6"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4,86</w:t>
            </w:r>
          </w:p>
        </w:tc>
      </w:tr>
      <w:tr w:rsidR="00B10783" w:rsidRPr="00B10783" w14:paraId="04DD52D3"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0B5B1A3"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17,50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56C7ABB"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AD1A7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4,87</w:t>
            </w:r>
          </w:p>
        </w:tc>
      </w:tr>
      <w:tr w:rsidR="00B10783" w:rsidRPr="00B10783" w14:paraId="1D992969"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9BF2B57"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18,00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EE7567"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81AF796"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4,88</w:t>
            </w:r>
          </w:p>
        </w:tc>
      </w:tr>
      <w:tr w:rsidR="00B10783" w:rsidRPr="00B10783" w14:paraId="6F39CA80"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D6548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18,50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764991"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F0F6D3"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4,89</w:t>
            </w:r>
          </w:p>
        </w:tc>
      </w:tr>
      <w:tr w:rsidR="00B10783" w:rsidRPr="00B10783" w14:paraId="4A9F5675"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1A8624"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19,00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F98CD72"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40E7B5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4,90</w:t>
            </w:r>
          </w:p>
        </w:tc>
      </w:tr>
      <w:tr w:rsidR="00B10783" w:rsidRPr="00B10783" w14:paraId="4B8E890F"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C49EC5"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19,50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B0BC45B"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78BA43"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4,91</w:t>
            </w:r>
          </w:p>
        </w:tc>
      </w:tr>
      <w:tr w:rsidR="00B10783" w:rsidRPr="00B10783" w14:paraId="578F9D84"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2CF3DE"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20,00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94694E"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98D77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4,92</w:t>
            </w:r>
          </w:p>
        </w:tc>
      </w:tr>
      <w:tr w:rsidR="00B10783" w:rsidRPr="00B10783" w14:paraId="1B7AA0B4"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B9AB941" w14:textId="2F9093E2"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20,50</w:t>
            </w:r>
            <w:r w:rsidR="00B10783" w:rsidRPr="00B10783">
              <w:rPr>
                <w:rFonts w:ascii="Arial" w:eastAsia="Times New Roman" w:hAnsi="Arial" w:cs="Arial"/>
                <w:color w:val="162937"/>
                <w:sz w:val="12"/>
                <w:szCs w:val="12"/>
                <w:lang w:eastAsia="pt-BR"/>
              </w:rPr>
              <w:t xml:space="preserve"> a </w:t>
            </w:r>
            <w:r w:rsidR="00B10783" w:rsidRPr="00DF630D">
              <w:rPr>
                <w:rFonts w:ascii="Arial" w:eastAsia="Times New Roman" w:hAnsi="Arial" w:cs="Arial"/>
                <w:color w:val="162937"/>
                <w:sz w:val="12"/>
                <w:szCs w:val="12"/>
                <w:lang w:eastAsia="pt-BR"/>
              </w:rPr>
              <w:t>21,00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9C1C675"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E75A2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4,93</w:t>
            </w:r>
          </w:p>
        </w:tc>
      </w:tr>
      <w:tr w:rsidR="00B10783" w:rsidRPr="00B10783" w14:paraId="04992C05"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07B526"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21,50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8BD497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0B96D0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4,94</w:t>
            </w:r>
          </w:p>
        </w:tc>
      </w:tr>
      <w:tr w:rsidR="00B10783" w:rsidRPr="00B10783" w14:paraId="30E724F3"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33A7A50"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22,00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72EEE7"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4,79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5441BB0"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4,95</w:t>
            </w:r>
          </w:p>
        </w:tc>
      </w:tr>
      <w:tr w:rsidR="00B10783" w:rsidRPr="00B10783" w14:paraId="6216DCE7"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E815B57"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22,50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99E303"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1A6ABBA"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4,96</w:t>
            </w:r>
          </w:p>
        </w:tc>
      </w:tr>
      <w:tr w:rsidR="00B10783" w:rsidRPr="00B10783" w14:paraId="0D5FB590"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2257E0F"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23,00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61CDC2"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1F49D2"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4,96</w:t>
            </w:r>
          </w:p>
        </w:tc>
      </w:tr>
      <w:tr w:rsidR="00B10783" w:rsidRPr="00B10783" w14:paraId="0E485255"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C5189A" w14:textId="45D43CB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23,50</w:t>
            </w:r>
            <w:r w:rsidR="00B10783" w:rsidRPr="00B10783">
              <w:rPr>
                <w:rFonts w:ascii="Arial" w:eastAsia="Times New Roman" w:hAnsi="Arial" w:cs="Arial"/>
                <w:color w:val="162937"/>
                <w:sz w:val="12"/>
                <w:szCs w:val="12"/>
                <w:lang w:eastAsia="pt-BR"/>
              </w:rPr>
              <w:t xml:space="preserve"> a </w:t>
            </w:r>
            <w:r w:rsidR="00B10783" w:rsidRPr="00DF630D">
              <w:rPr>
                <w:rFonts w:ascii="Arial" w:eastAsia="Times New Roman" w:hAnsi="Arial" w:cs="Arial"/>
                <w:color w:val="162937"/>
                <w:sz w:val="12"/>
                <w:szCs w:val="12"/>
                <w:lang w:eastAsia="pt-BR"/>
              </w:rPr>
              <w:t>24,00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34D83C4"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FC4DC69"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4,97</w:t>
            </w:r>
          </w:p>
        </w:tc>
      </w:tr>
      <w:tr w:rsidR="00B10783" w:rsidRPr="00B10783" w14:paraId="45223C7D"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2B22CE"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24,50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E317A0"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0DFFF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4,98</w:t>
            </w:r>
          </w:p>
        </w:tc>
      </w:tr>
      <w:tr w:rsidR="00B10783" w:rsidRPr="00B10783" w14:paraId="0666F557"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776E5C"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25,00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D1AF49"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3E8AFD"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4,99</w:t>
            </w:r>
          </w:p>
        </w:tc>
      </w:tr>
      <w:tr w:rsidR="00B10783" w:rsidRPr="00B10783" w14:paraId="3EC16D67"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6DEAD99"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25,50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B699C1"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3354C6A"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4,99</w:t>
            </w:r>
          </w:p>
        </w:tc>
      </w:tr>
      <w:tr w:rsidR="00B10783" w:rsidRPr="00B10783" w14:paraId="7CE5A50B"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8EDBAA" w14:textId="38140EBD"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26,00</w:t>
            </w:r>
            <w:r w:rsidR="00B10783" w:rsidRPr="00B10783">
              <w:rPr>
                <w:rFonts w:ascii="Arial" w:eastAsia="Times New Roman" w:hAnsi="Arial" w:cs="Arial"/>
                <w:color w:val="162937"/>
                <w:sz w:val="12"/>
                <w:szCs w:val="12"/>
                <w:lang w:eastAsia="pt-BR"/>
              </w:rPr>
              <w:t xml:space="preserve"> a </w:t>
            </w:r>
            <w:r w:rsidR="00B10783" w:rsidRPr="00DF630D">
              <w:rPr>
                <w:rFonts w:ascii="Arial" w:eastAsia="Times New Roman" w:hAnsi="Arial" w:cs="Arial"/>
                <w:color w:val="162937"/>
                <w:sz w:val="12"/>
                <w:szCs w:val="12"/>
                <w:lang w:eastAsia="pt-BR"/>
              </w:rPr>
              <w:t>28,00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8DDB08"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9188651"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5,00</w:t>
            </w:r>
          </w:p>
        </w:tc>
      </w:tr>
      <w:tr w:rsidR="00B10783" w:rsidRPr="00B10783" w14:paraId="6BB057E0" w14:textId="77777777" w:rsidTr="00B10783">
        <w:trPr>
          <w:trHeight w:val="175"/>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21A9A04" w14:textId="51D077FD"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28,50</w:t>
            </w:r>
            <w:r w:rsidR="00B10783" w:rsidRPr="00B10783">
              <w:rPr>
                <w:rFonts w:ascii="Arial" w:eastAsia="Times New Roman" w:hAnsi="Arial" w:cs="Arial"/>
                <w:color w:val="162937"/>
                <w:sz w:val="12"/>
                <w:szCs w:val="12"/>
                <w:lang w:eastAsia="pt-BR"/>
              </w:rPr>
              <w:t xml:space="preserve"> a </w:t>
            </w:r>
            <w:r w:rsidR="00B10783" w:rsidRPr="00DF630D">
              <w:rPr>
                <w:rFonts w:ascii="Arial" w:eastAsia="Times New Roman" w:hAnsi="Arial" w:cs="Arial"/>
                <w:color w:val="162937"/>
                <w:sz w:val="12"/>
                <w:szCs w:val="12"/>
                <w:lang w:eastAsia="pt-BR"/>
              </w:rPr>
              <w:t>29,50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1935781"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90D7B7"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5,02</w:t>
            </w:r>
          </w:p>
        </w:tc>
      </w:tr>
      <w:tr w:rsidR="00B10783" w:rsidRPr="00B10783" w14:paraId="2691F0E0" w14:textId="77777777" w:rsidTr="00B10783">
        <w:trPr>
          <w:trHeight w:val="79"/>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244FDB" w14:textId="4065FBD1"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30,00</w:t>
            </w:r>
            <w:r w:rsidR="00B10783" w:rsidRPr="00B10783">
              <w:rPr>
                <w:rFonts w:ascii="Arial" w:eastAsia="Times New Roman" w:hAnsi="Arial" w:cs="Arial"/>
                <w:color w:val="162937"/>
                <w:sz w:val="12"/>
                <w:szCs w:val="12"/>
                <w:lang w:eastAsia="pt-BR"/>
              </w:rPr>
              <w:t xml:space="preserve"> a </w:t>
            </w:r>
            <w:r w:rsidR="00B10783" w:rsidRPr="00DF630D">
              <w:rPr>
                <w:rFonts w:ascii="Arial" w:eastAsia="Times New Roman" w:hAnsi="Arial" w:cs="Arial"/>
                <w:color w:val="162937"/>
                <w:sz w:val="12"/>
                <w:szCs w:val="12"/>
                <w:lang w:eastAsia="pt-BR"/>
              </w:rPr>
              <w:t>30,50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184CA5"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640FF61"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5,03</w:t>
            </w:r>
          </w:p>
        </w:tc>
      </w:tr>
      <w:tr w:rsidR="00B10783" w:rsidRPr="00B10783" w14:paraId="093095CB" w14:textId="77777777" w:rsidTr="00B10783">
        <w:trPr>
          <w:trHeight w:val="167"/>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912EF1" w14:textId="7865F4AC"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lastRenderedPageBreak/>
              <w:t>31,00</w:t>
            </w:r>
            <w:r w:rsidR="00B10783" w:rsidRPr="00B10783">
              <w:rPr>
                <w:rFonts w:ascii="Arial" w:eastAsia="Times New Roman" w:hAnsi="Arial" w:cs="Arial"/>
                <w:color w:val="162937"/>
                <w:sz w:val="12"/>
                <w:szCs w:val="12"/>
                <w:lang w:eastAsia="pt-BR"/>
              </w:rPr>
              <w:t xml:space="preserve"> a </w:t>
            </w:r>
            <w:r w:rsidR="00B10783" w:rsidRPr="00DF630D">
              <w:rPr>
                <w:rFonts w:ascii="Arial" w:eastAsia="Times New Roman" w:hAnsi="Arial" w:cs="Arial"/>
                <w:color w:val="162937"/>
                <w:sz w:val="12"/>
                <w:szCs w:val="12"/>
                <w:lang w:eastAsia="pt-BR"/>
              </w:rPr>
              <w:t>33,50</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C2BE41"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4,88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90969E7"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5,04</w:t>
            </w:r>
          </w:p>
        </w:tc>
      </w:tr>
      <w:tr w:rsidR="00B10783" w:rsidRPr="00B10783" w14:paraId="1D91FC00" w14:textId="77777777" w:rsidTr="00B10783">
        <w:trPr>
          <w:trHeight w:val="20"/>
        </w:trPr>
        <w:tc>
          <w:tcPr>
            <w:tcW w:w="2553"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5F9D52D"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34,00 ou mais</w:t>
            </w:r>
          </w:p>
        </w:tc>
        <w:tc>
          <w:tcPr>
            <w:tcW w:w="270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73F8E3"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4,90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81FF8A1" w14:textId="77777777" w:rsidR="00DF630D" w:rsidRPr="00DF630D" w:rsidRDefault="00DF630D" w:rsidP="00B03275">
            <w:pPr>
              <w:spacing w:after="0" w:line="240" w:lineRule="auto"/>
              <w:ind w:right="-568" w:firstLine="851"/>
              <w:rPr>
                <w:rFonts w:ascii="Arial" w:eastAsia="Times New Roman" w:hAnsi="Arial" w:cs="Arial"/>
                <w:color w:val="162937"/>
                <w:sz w:val="12"/>
                <w:szCs w:val="12"/>
                <w:lang w:eastAsia="pt-BR"/>
              </w:rPr>
            </w:pPr>
            <w:r w:rsidRPr="00DF630D">
              <w:rPr>
                <w:rFonts w:ascii="Arial" w:eastAsia="Times New Roman" w:hAnsi="Arial" w:cs="Arial"/>
                <w:color w:val="162937"/>
                <w:sz w:val="12"/>
                <w:szCs w:val="12"/>
                <w:lang w:eastAsia="pt-BR"/>
              </w:rPr>
              <w:t>5,10</w:t>
            </w:r>
          </w:p>
        </w:tc>
      </w:tr>
    </w:tbl>
    <w:p w14:paraId="3CFABD24" w14:textId="09EF1D60" w:rsidR="00DF630D" w:rsidRPr="00B10783" w:rsidRDefault="00DF630D" w:rsidP="00B03275">
      <w:pPr>
        <w:autoSpaceDE w:val="0"/>
        <w:autoSpaceDN w:val="0"/>
        <w:adjustRightInd w:val="0"/>
        <w:spacing w:after="0" w:line="360" w:lineRule="auto"/>
        <w:ind w:right="-568" w:firstLine="851"/>
        <w:jc w:val="both"/>
        <w:rPr>
          <w:rFonts w:asciiTheme="minorHAnsi" w:hAnsiTheme="minorHAnsi" w:cstheme="minorHAnsi"/>
          <w:sz w:val="12"/>
          <w:szCs w:val="12"/>
          <w:lang w:eastAsia="pt-BR"/>
        </w:rPr>
      </w:pPr>
    </w:p>
    <w:p w14:paraId="42846025" w14:textId="6B37D7AC" w:rsidR="00DF630D" w:rsidRPr="008B02D4" w:rsidRDefault="00DF630D"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Pr>
          <w:rFonts w:asciiTheme="minorHAnsi" w:hAnsiTheme="minorHAnsi" w:cstheme="minorHAnsi"/>
          <w:sz w:val="24"/>
          <w:szCs w:val="24"/>
          <w:lang w:eastAsia="pt-BR"/>
        </w:rPr>
        <w:t>A</w:t>
      </w:r>
      <w:r w:rsidR="00C4025D" w:rsidRPr="00C4025D">
        <w:rPr>
          <w:rFonts w:asciiTheme="minorHAnsi" w:hAnsiTheme="minorHAnsi" w:cstheme="minorHAnsi"/>
          <w:sz w:val="24"/>
          <w:szCs w:val="24"/>
          <w:lang w:eastAsia="pt-BR"/>
        </w:rPr>
        <w:t>crescidas em</w:t>
      </w:r>
      <w:r w:rsidR="00C4025D">
        <w:rPr>
          <w:rFonts w:asciiTheme="minorHAnsi" w:hAnsiTheme="minorHAnsi" w:cstheme="minorHAnsi"/>
          <w:sz w:val="24"/>
          <w:szCs w:val="24"/>
          <w:lang w:eastAsia="pt-BR"/>
        </w:rPr>
        <w:t xml:space="preserve"> </w:t>
      </w:r>
      <w:r w:rsidR="00C4025D" w:rsidRPr="00C4025D">
        <w:rPr>
          <w:rFonts w:asciiTheme="minorHAnsi" w:hAnsiTheme="minorHAnsi" w:cstheme="minorHAnsi"/>
          <w:sz w:val="24"/>
          <w:szCs w:val="24"/>
          <w:lang w:eastAsia="pt-BR"/>
        </w:rPr>
        <w:t>0,15 pontos percentuais para cada ano em que a taxa de juros utilizada nas avaliações</w:t>
      </w:r>
      <w:r w:rsidR="00C4025D">
        <w:rPr>
          <w:rFonts w:asciiTheme="minorHAnsi" w:hAnsiTheme="minorHAnsi" w:cstheme="minorHAnsi"/>
          <w:sz w:val="24"/>
          <w:szCs w:val="24"/>
          <w:lang w:eastAsia="pt-BR"/>
        </w:rPr>
        <w:t xml:space="preserve"> </w:t>
      </w:r>
      <w:r w:rsidR="00C4025D" w:rsidRPr="00C4025D">
        <w:rPr>
          <w:rFonts w:asciiTheme="minorHAnsi" w:hAnsiTheme="minorHAnsi" w:cstheme="minorHAnsi"/>
          <w:sz w:val="24"/>
          <w:szCs w:val="24"/>
          <w:lang w:eastAsia="pt-BR"/>
        </w:rPr>
        <w:t xml:space="preserve">atuariais dos últimos 5 (cinco) </w:t>
      </w:r>
      <w:r w:rsidRPr="00C4025D">
        <w:rPr>
          <w:rFonts w:asciiTheme="minorHAnsi" w:hAnsiTheme="minorHAnsi" w:cstheme="minorHAnsi"/>
          <w:sz w:val="24"/>
          <w:szCs w:val="24"/>
          <w:lang w:eastAsia="pt-BR"/>
        </w:rPr>
        <w:t>exercícios antecedentes à data focal da avaliação tiverem</w:t>
      </w:r>
      <w:r w:rsidR="00C4025D" w:rsidRPr="00C4025D">
        <w:rPr>
          <w:rFonts w:asciiTheme="minorHAnsi" w:hAnsiTheme="minorHAnsi" w:cstheme="minorHAnsi"/>
          <w:sz w:val="24"/>
          <w:szCs w:val="24"/>
          <w:lang w:eastAsia="pt-BR"/>
        </w:rPr>
        <w:t xml:space="preserve"> sido</w:t>
      </w:r>
      <w:r w:rsidR="00C4025D">
        <w:rPr>
          <w:rFonts w:asciiTheme="minorHAnsi" w:hAnsiTheme="minorHAnsi" w:cstheme="minorHAnsi"/>
          <w:sz w:val="24"/>
          <w:szCs w:val="24"/>
          <w:lang w:eastAsia="pt-BR"/>
        </w:rPr>
        <w:t xml:space="preserve"> </w:t>
      </w:r>
      <w:r w:rsidRPr="00C4025D">
        <w:rPr>
          <w:rFonts w:asciiTheme="minorHAnsi" w:hAnsiTheme="minorHAnsi" w:cstheme="minorHAnsi"/>
          <w:sz w:val="24"/>
          <w:szCs w:val="24"/>
          <w:lang w:eastAsia="pt-BR"/>
        </w:rPr>
        <w:t>alcançados</w:t>
      </w:r>
      <w:r w:rsidR="00C4025D" w:rsidRPr="00C4025D">
        <w:rPr>
          <w:rFonts w:asciiTheme="minorHAnsi" w:hAnsiTheme="minorHAnsi" w:cstheme="minorHAnsi"/>
          <w:sz w:val="24"/>
          <w:szCs w:val="24"/>
          <w:lang w:eastAsia="pt-BR"/>
        </w:rPr>
        <w:t xml:space="preserve"> pelo RPPS, limitada a 0,6 pontos percentuais.</w:t>
      </w:r>
    </w:p>
    <w:p w14:paraId="44AAC285" w14:textId="5194CDFE" w:rsidR="00BE5A1E" w:rsidRPr="00E16DA4" w:rsidRDefault="007E1ABF" w:rsidP="00E16DA4">
      <w:pPr>
        <w:autoSpaceDE w:val="0"/>
        <w:autoSpaceDN w:val="0"/>
        <w:adjustRightInd w:val="0"/>
        <w:spacing w:after="0" w:line="360" w:lineRule="auto"/>
        <w:ind w:right="-568" w:firstLine="851"/>
        <w:jc w:val="both"/>
        <w:rPr>
          <w:rFonts w:asciiTheme="minorHAnsi" w:hAnsiTheme="minorHAnsi" w:cstheme="minorHAnsi"/>
          <w:b/>
          <w:bCs/>
          <w:sz w:val="24"/>
          <w:szCs w:val="24"/>
          <w:lang w:eastAsia="pt-BR"/>
        </w:rPr>
      </w:pPr>
      <w:r w:rsidRPr="008B02D4">
        <w:rPr>
          <w:rFonts w:asciiTheme="minorHAnsi" w:hAnsiTheme="minorHAnsi" w:cstheme="minorHAnsi"/>
          <w:sz w:val="24"/>
          <w:szCs w:val="24"/>
          <w:lang w:eastAsia="pt-BR"/>
        </w:rPr>
        <w:t xml:space="preserve">Fica assim definida como taxa de desconto ou simplesmente Meta Atuarial para o </w:t>
      </w:r>
      <w:r w:rsidRPr="008B02D4">
        <w:rPr>
          <w:rFonts w:asciiTheme="minorHAnsi" w:hAnsiTheme="minorHAnsi" w:cstheme="minorHAnsi"/>
          <w:b/>
          <w:bCs/>
          <w:sz w:val="24"/>
          <w:szCs w:val="24"/>
          <w:lang w:eastAsia="pt-BR"/>
        </w:rPr>
        <w:t>exercício de 202</w:t>
      </w:r>
      <w:r w:rsidR="00981B7D">
        <w:rPr>
          <w:rFonts w:asciiTheme="minorHAnsi" w:hAnsiTheme="minorHAnsi" w:cstheme="minorHAnsi"/>
          <w:b/>
          <w:bCs/>
          <w:sz w:val="24"/>
          <w:szCs w:val="24"/>
          <w:lang w:eastAsia="pt-BR"/>
        </w:rPr>
        <w:t>4</w:t>
      </w:r>
      <w:r w:rsidRPr="008B02D4">
        <w:rPr>
          <w:rFonts w:asciiTheme="minorHAnsi" w:hAnsiTheme="minorHAnsi" w:cstheme="minorHAnsi"/>
          <w:sz w:val="24"/>
          <w:szCs w:val="24"/>
          <w:lang w:eastAsia="pt-BR"/>
        </w:rPr>
        <w:t xml:space="preserve"> a </w:t>
      </w:r>
      <w:r w:rsidRPr="00014A37">
        <w:rPr>
          <w:rFonts w:asciiTheme="minorHAnsi" w:hAnsiTheme="minorHAnsi" w:cstheme="minorHAnsi"/>
          <w:sz w:val="24"/>
          <w:szCs w:val="24"/>
          <w:lang w:eastAsia="pt-BR"/>
        </w:rPr>
        <w:t xml:space="preserve">taxa </w:t>
      </w:r>
      <w:r w:rsidR="00191D48">
        <w:rPr>
          <w:rFonts w:asciiTheme="minorHAnsi" w:hAnsiTheme="minorHAnsi" w:cstheme="minorHAnsi"/>
          <w:b/>
          <w:bCs/>
          <w:sz w:val="24"/>
          <w:szCs w:val="24"/>
          <w:lang w:eastAsia="pt-BR"/>
        </w:rPr>
        <w:t>5,00</w:t>
      </w:r>
      <w:r w:rsidR="00BB366C" w:rsidRPr="00FF2B6C">
        <w:rPr>
          <w:rFonts w:asciiTheme="minorHAnsi" w:hAnsiTheme="minorHAnsi" w:cstheme="minorHAnsi"/>
          <w:b/>
          <w:bCs/>
          <w:sz w:val="24"/>
          <w:szCs w:val="24"/>
          <w:lang w:eastAsia="pt-BR"/>
        </w:rPr>
        <w:t>%</w:t>
      </w:r>
      <w:r w:rsidR="00191D48">
        <w:rPr>
          <w:rFonts w:asciiTheme="minorHAnsi" w:hAnsiTheme="minorHAnsi" w:cstheme="minorHAnsi"/>
          <w:b/>
          <w:bCs/>
          <w:sz w:val="24"/>
          <w:szCs w:val="24"/>
          <w:lang w:eastAsia="pt-BR"/>
        </w:rPr>
        <w:t xml:space="preserve"> (cinco </w:t>
      </w:r>
      <w:r w:rsidR="00400B06" w:rsidRPr="00014A37">
        <w:rPr>
          <w:rFonts w:asciiTheme="minorHAnsi" w:hAnsiTheme="minorHAnsi" w:cstheme="minorHAnsi"/>
          <w:b/>
          <w:bCs/>
          <w:sz w:val="24"/>
          <w:szCs w:val="24"/>
          <w:lang w:eastAsia="pt-BR"/>
        </w:rPr>
        <w:t>pontos pe</w:t>
      </w:r>
      <w:r w:rsidR="008746C4" w:rsidRPr="00014A37">
        <w:rPr>
          <w:rFonts w:asciiTheme="minorHAnsi" w:hAnsiTheme="minorHAnsi" w:cstheme="minorHAnsi"/>
          <w:b/>
          <w:bCs/>
          <w:sz w:val="24"/>
          <w:szCs w:val="24"/>
          <w:lang w:eastAsia="pt-BR"/>
        </w:rPr>
        <w:t>r</w:t>
      </w:r>
      <w:r w:rsidR="00400B06" w:rsidRPr="00014A37">
        <w:rPr>
          <w:rFonts w:asciiTheme="minorHAnsi" w:hAnsiTheme="minorHAnsi" w:cstheme="minorHAnsi"/>
          <w:b/>
          <w:bCs/>
          <w:sz w:val="24"/>
          <w:szCs w:val="24"/>
          <w:lang w:eastAsia="pt-BR"/>
        </w:rPr>
        <w:t>centuais</w:t>
      </w:r>
      <w:r w:rsidR="003474C3" w:rsidRPr="00014A37">
        <w:rPr>
          <w:rFonts w:asciiTheme="minorHAnsi" w:hAnsiTheme="minorHAnsi" w:cstheme="minorHAnsi"/>
          <w:b/>
          <w:bCs/>
          <w:sz w:val="24"/>
          <w:szCs w:val="24"/>
          <w:lang w:eastAsia="pt-BR"/>
        </w:rPr>
        <w:t>)</w:t>
      </w:r>
      <w:r w:rsidR="000F1355" w:rsidRPr="00014A37">
        <w:rPr>
          <w:rFonts w:asciiTheme="minorHAnsi" w:hAnsiTheme="minorHAnsi" w:cstheme="minorHAnsi"/>
          <w:b/>
          <w:bCs/>
          <w:sz w:val="24"/>
          <w:szCs w:val="24"/>
          <w:lang w:eastAsia="pt-BR"/>
        </w:rPr>
        <w:t xml:space="preserve"> </w:t>
      </w:r>
      <w:r w:rsidR="00400B06" w:rsidRPr="00014A37">
        <w:rPr>
          <w:rFonts w:asciiTheme="minorHAnsi" w:hAnsiTheme="minorHAnsi" w:cstheme="minorHAnsi"/>
          <w:b/>
          <w:bCs/>
          <w:sz w:val="24"/>
          <w:szCs w:val="24"/>
          <w:lang w:eastAsia="pt-BR"/>
        </w:rPr>
        <w:t xml:space="preserve">somado a inflação - </w:t>
      </w:r>
      <w:r w:rsidRPr="00014A37">
        <w:rPr>
          <w:rFonts w:asciiTheme="minorHAnsi" w:hAnsiTheme="minorHAnsi" w:cstheme="minorHAnsi"/>
          <w:b/>
          <w:bCs/>
          <w:sz w:val="24"/>
          <w:szCs w:val="24"/>
          <w:lang w:eastAsia="pt-BR"/>
        </w:rPr>
        <w:t>IPCA.</w:t>
      </w:r>
    </w:p>
    <w:p w14:paraId="3A6D476C" w14:textId="4DADA82E" w:rsidR="005B17CB" w:rsidRPr="008B02D4" w:rsidRDefault="005B17CB"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Logo, temos o seguinte cenário para a meta de rentabilidade para o ano de 202</w:t>
      </w:r>
      <w:r w:rsidR="00155AB3">
        <w:rPr>
          <w:rFonts w:asciiTheme="minorHAnsi" w:hAnsiTheme="minorHAnsi" w:cstheme="minorHAnsi"/>
          <w:sz w:val="24"/>
          <w:szCs w:val="24"/>
          <w:lang w:eastAsia="pt-BR"/>
        </w:rPr>
        <w:t>4</w:t>
      </w:r>
      <w:r w:rsidRPr="008B02D4">
        <w:rPr>
          <w:rFonts w:asciiTheme="minorHAnsi" w:hAnsiTheme="minorHAnsi" w:cstheme="minorHAnsi"/>
          <w:sz w:val="24"/>
          <w:szCs w:val="24"/>
          <w:lang w:eastAsia="pt-BR"/>
        </w:rPr>
        <w:t>, conforme quadro a seguir:</w:t>
      </w:r>
    </w:p>
    <w:tbl>
      <w:tblPr>
        <w:tblStyle w:val="TabeladeGrade6Colorida"/>
        <w:tblW w:w="0" w:type="auto"/>
        <w:tblLook w:val="04A0" w:firstRow="1" w:lastRow="0" w:firstColumn="1" w:lastColumn="0" w:noHBand="0" w:noVBand="1"/>
      </w:tblPr>
      <w:tblGrid>
        <w:gridCol w:w="4673"/>
        <w:gridCol w:w="3821"/>
      </w:tblGrid>
      <w:tr w:rsidR="005B17CB" w:rsidRPr="008B02D4" w14:paraId="4AFB5FE5" w14:textId="77777777" w:rsidTr="003F12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2F5496" w:themeFill="accent1" w:themeFillShade="BF"/>
          </w:tcPr>
          <w:p w14:paraId="5C15CA36" w14:textId="6CFF1D12" w:rsidR="005B17CB" w:rsidRPr="003F127F" w:rsidRDefault="005B17CB" w:rsidP="00B03275">
            <w:pPr>
              <w:autoSpaceDE w:val="0"/>
              <w:autoSpaceDN w:val="0"/>
              <w:adjustRightInd w:val="0"/>
              <w:spacing w:after="0" w:line="240" w:lineRule="auto"/>
              <w:ind w:right="-568" w:firstLine="851"/>
              <w:jc w:val="center"/>
              <w:rPr>
                <w:rFonts w:asciiTheme="minorHAnsi" w:hAnsiTheme="minorHAnsi" w:cstheme="minorHAnsi"/>
                <w:sz w:val="24"/>
                <w:szCs w:val="24"/>
                <w:highlight w:val="darkBlue"/>
                <w:lang w:eastAsia="pt-BR"/>
              </w:rPr>
            </w:pPr>
            <w:r w:rsidRPr="003F127F">
              <w:rPr>
                <w:rFonts w:asciiTheme="minorHAnsi" w:hAnsiTheme="minorHAnsi" w:cstheme="minorHAnsi"/>
                <w:color w:val="FFFFFF" w:themeColor="background1"/>
                <w:sz w:val="24"/>
                <w:szCs w:val="24"/>
                <w:lang w:eastAsia="pt-BR"/>
              </w:rPr>
              <w:t>META DE RENTABILIDADE 202</w:t>
            </w:r>
            <w:r w:rsidR="00155AB3">
              <w:rPr>
                <w:rFonts w:asciiTheme="minorHAnsi" w:hAnsiTheme="minorHAnsi" w:cstheme="minorHAnsi"/>
                <w:color w:val="FFFFFF" w:themeColor="background1"/>
                <w:sz w:val="24"/>
                <w:szCs w:val="24"/>
                <w:lang w:eastAsia="pt-BR"/>
              </w:rPr>
              <w:t>4</w:t>
            </w:r>
          </w:p>
        </w:tc>
      </w:tr>
      <w:tr w:rsidR="005B17CB" w:rsidRPr="008B02D4" w14:paraId="0F34468C" w14:textId="77777777" w:rsidTr="008A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89AABB6" w14:textId="09F0EB64" w:rsidR="005B17CB" w:rsidRPr="006D0168" w:rsidRDefault="005B17CB" w:rsidP="008A76DB">
            <w:pPr>
              <w:autoSpaceDE w:val="0"/>
              <w:autoSpaceDN w:val="0"/>
              <w:adjustRightInd w:val="0"/>
              <w:spacing w:after="0" w:line="240" w:lineRule="auto"/>
              <w:ind w:right="-568" w:firstLine="741"/>
              <w:rPr>
                <w:rFonts w:asciiTheme="minorHAnsi" w:hAnsiTheme="minorHAnsi" w:cstheme="minorHAnsi"/>
                <w:sz w:val="24"/>
                <w:szCs w:val="24"/>
                <w:lang w:eastAsia="pt-BR"/>
              </w:rPr>
            </w:pPr>
            <w:r w:rsidRPr="006D0168">
              <w:rPr>
                <w:rFonts w:asciiTheme="minorHAnsi" w:hAnsiTheme="minorHAnsi" w:cstheme="minorHAnsi"/>
                <w:sz w:val="24"/>
                <w:szCs w:val="24"/>
                <w:lang w:eastAsia="pt-BR"/>
              </w:rPr>
              <w:t>ÍNDICE DE REFERÊNCIA (IPCA)</w:t>
            </w:r>
          </w:p>
        </w:tc>
        <w:tc>
          <w:tcPr>
            <w:tcW w:w="3821" w:type="dxa"/>
          </w:tcPr>
          <w:p w14:paraId="50BA1E96" w14:textId="139427CD" w:rsidR="005B17CB" w:rsidRPr="006D0168" w:rsidRDefault="006D0168" w:rsidP="00191D48">
            <w:pPr>
              <w:autoSpaceDE w:val="0"/>
              <w:autoSpaceDN w:val="0"/>
              <w:adjustRightInd w:val="0"/>
              <w:spacing w:after="0" w:line="240" w:lineRule="auto"/>
              <w:ind w:right="-568" w:firstLine="8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eastAsia="pt-BR"/>
              </w:rPr>
            </w:pPr>
            <w:r w:rsidRPr="006D0168">
              <w:rPr>
                <w:rFonts w:asciiTheme="minorHAnsi" w:hAnsiTheme="minorHAnsi" w:cstheme="minorHAnsi"/>
                <w:sz w:val="24"/>
                <w:szCs w:val="24"/>
                <w:lang w:eastAsia="pt-BR"/>
              </w:rPr>
              <w:t>3,88</w:t>
            </w:r>
            <w:r w:rsidR="006E3979" w:rsidRPr="006D0168">
              <w:rPr>
                <w:rFonts w:asciiTheme="minorHAnsi" w:hAnsiTheme="minorHAnsi" w:cstheme="minorHAnsi"/>
                <w:sz w:val="24"/>
                <w:szCs w:val="24"/>
                <w:lang w:eastAsia="pt-BR"/>
              </w:rPr>
              <w:t>%</w:t>
            </w:r>
          </w:p>
        </w:tc>
      </w:tr>
      <w:tr w:rsidR="005B17CB" w:rsidRPr="008B02D4" w14:paraId="196AD850" w14:textId="77777777" w:rsidTr="008A76DB">
        <w:tc>
          <w:tcPr>
            <w:cnfStyle w:val="001000000000" w:firstRow="0" w:lastRow="0" w:firstColumn="1" w:lastColumn="0" w:oddVBand="0" w:evenVBand="0" w:oddHBand="0" w:evenHBand="0" w:firstRowFirstColumn="0" w:firstRowLastColumn="0" w:lastRowFirstColumn="0" w:lastRowLastColumn="0"/>
            <w:tcW w:w="4673" w:type="dxa"/>
          </w:tcPr>
          <w:p w14:paraId="63832B78" w14:textId="1105C0F6" w:rsidR="005B17CB" w:rsidRPr="006D0168" w:rsidRDefault="005B17CB" w:rsidP="008A76DB">
            <w:pPr>
              <w:autoSpaceDE w:val="0"/>
              <w:autoSpaceDN w:val="0"/>
              <w:adjustRightInd w:val="0"/>
              <w:spacing w:after="0" w:line="240" w:lineRule="auto"/>
              <w:ind w:right="-568" w:firstLine="741"/>
              <w:rPr>
                <w:rFonts w:asciiTheme="minorHAnsi" w:hAnsiTheme="minorHAnsi" w:cstheme="minorHAnsi"/>
                <w:sz w:val="24"/>
                <w:szCs w:val="24"/>
                <w:lang w:eastAsia="pt-BR"/>
              </w:rPr>
            </w:pPr>
            <w:r w:rsidRPr="006D0168">
              <w:rPr>
                <w:rFonts w:asciiTheme="minorHAnsi" w:hAnsiTheme="minorHAnsi" w:cstheme="minorHAnsi"/>
                <w:sz w:val="24"/>
                <w:szCs w:val="24"/>
                <w:lang w:eastAsia="pt-BR"/>
              </w:rPr>
              <w:t>TAXA DE JUROS RETORNO ESPERADA</w:t>
            </w:r>
          </w:p>
        </w:tc>
        <w:tc>
          <w:tcPr>
            <w:tcW w:w="3821" w:type="dxa"/>
          </w:tcPr>
          <w:p w14:paraId="3A2786CA" w14:textId="35C7AC14" w:rsidR="005B17CB" w:rsidRPr="006D0168" w:rsidRDefault="00191D48" w:rsidP="00191D48">
            <w:pPr>
              <w:autoSpaceDE w:val="0"/>
              <w:autoSpaceDN w:val="0"/>
              <w:adjustRightInd w:val="0"/>
              <w:spacing w:after="0" w:line="240" w:lineRule="auto"/>
              <w:ind w:right="-568" w:firstLine="8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eastAsia="pt-BR"/>
              </w:rPr>
            </w:pPr>
            <w:r w:rsidRPr="00191D48">
              <w:rPr>
                <w:rFonts w:asciiTheme="minorHAnsi" w:hAnsiTheme="minorHAnsi" w:cstheme="minorHAnsi"/>
                <w:sz w:val="24"/>
                <w:szCs w:val="24"/>
                <w:lang w:eastAsia="pt-BR"/>
              </w:rPr>
              <w:t>5,00</w:t>
            </w:r>
            <w:r w:rsidR="00014A37" w:rsidRPr="006D0168">
              <w:rPr>
                <w:rFonts w:asciiTheme="minorHAnsi" w:hAnsiTheme="minorHAnsi" w:cstheme="minorHAnsi"/>
                <w:sz w:val="24"/>
                <w:szCs w:val="24"/>
                <w:lang w:eastAsia="pt-BR"/>
              </w:rPr>
              <w:t>%</w:t>
            </w:r>
          </w:p>
        </w:tc>
      </w:tr>
      <w:tr w:rsidR="005B17CB" w:rsidRPr="008B02D4" w14:paraId="7FB123B8" w14:textId="77777777" w:rsidTr="008A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2F9423D" w14:textId="3D2C7EA6" w:rsidR="005B17CB" w:rsidRPr="006D0168" w:rsidRDefault="005B17CB" w:rsidP="008A76DB">
            <w:pPr>
              <w:autoSpaceDE w:val="0"/>
              <w:autoSpaceDN w:val="0"/>
              <w:adjustRightInd w:val="0"/>
              <w:spacing w:after="0" w:line="240" w:lineRule="auto"/>
              <w:ind w:right="-568" w:firstLine="741"/>
              <w:rPr>
                <w:rFonts w:asciiTheme="minorHAnsi" w:hAnsiTheme="minorHAnsi" w:cstheme="minorHAnsi"/>
                <w:sz w:val="24"/>
                <w:szCs w:val="24"/>
                <w:lang w:eastAsia="pt-BR"/>
              </w:rPr>
            </w:pPr>
            <w:r w:rsidRPr="006D0168">
              <w:rPr>
                <w:rFonts w:asciiTheme="minorHAnsi" w:hAnsiTheme="minorHAnsi" w:cstheme="minorHAnsi"/>
                <w:sz w:val="24"/>
                <w:szCs w:val="24"/>
                <w:lang w:eastAsia="pt-BR"/>
              </w:rPr>
              <w:t>RENTABILIDADE ESPERADA</w:t>
            </w:r>
          </w:p>
        </w:tc>
        <w:tc>
          <w:tcPr>
            <w:tcW w:w="3821" w:type="dxa"/>
          </w:tcPr>
          <w:p w14:paraId="1F6EFB73" w14:textId="4821557B" w:rsidR="005B17CB" w:rsidRPr="006D0168" w:rsidRDefault="00191D48" w:rsidP="00191D48">
            <w:pPr>
              <w:autoSpaceDE w:val="0"/>
              <w:autoSpaceDN w:val="0"/>
              <w:adjustRightInd w:val="0"/>
              <w:spacing w:after="0" w:line="240" w:lineRule="auto"/>
              <w:ind w:right="-568" w:firstLine="8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eastAsia="pt-BR"/>
              </w:rPr>
            </w:pPr>
            <w:r w:rsidRPr="00191D48">
              <w:rPr>
                <w:rFonts w:asciiTheme="minorHAnsi" w:hAnsiTheme="minorHAnsi" w:cstheme="minorHAnsi"/>
                <w:sz w:val="24"/>
                <w:szCs w:val="24"/>
                <w:lang w:eastAsia="pt-BR"/>
              </w:rPr>
              <w:t>9,07%</w:t>
            </w:r>
          </w:p>
        </w:tc>
      </w:tr>
    </w:tbl>
    <w:p w14:paraId="7B7E2D76" w14:textId="63943A43" w:rsidR="005B17CB" w:rsidRPr="00535FE8" w:rsidRDefault="005B17CB" w:rsidP="00B03275">
      <w:pPr>
        <w:autoSpaceDE w:val="0"/>
        <w:autoSpaceDN w:val="0"/>
        <w:adjustRightInd w:val="0"/>
        <w:spacing w:after="0" w:line="360" w:lineRule="auto"/>
        <w:ind w:right="-568" w:firstLine="851"/>
        <w:jc w:val="both"/>
        <w:rPr>
          <w:rFonts w:asciiTheme="minorHAnsi" w:hAnsiTheme="minorHAnsi" w:cstheme="minorHAnsi"/>
          <w:color w:val="FF0000"/>
          <w:sz w:val="24"/>
          <w:szCs w:val="24"/>
          <w:lang w:eastAsia="pt-BR"/>
        </w:rPr>
      </w:pPr>
    </w:p>
    <w:tbl>
      <w:tblPr>
        <w:tblStyle w:val="TabeladeGrade6Colorida"/>
        <w:tblW w:w="0" w:type="auto"/>
        <w:tblLook w:val="04A0" w:firstRow="1" w:lastRow="0" w:firstColumn="1" w:lastColumn="0" w:noHBand="0" w:noVBand="1"/>
      </w:tblPr>
      <w:tblGrid>
        <w:gridCol w:w="4673"/>
        <w:gridCol w:w="3821"/>
      </w:tblGrid>
      <w:tr w:rsidR="00906E99" w:rsidRPr="008B02D4" w14:paraId="18F2B78F" w14:textId="77777777" w:rsidTr="001B2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2F5496" w:themeFill="accent1" w:themeFillShade="BF"/>
          </w:tcPr>
          <w:p w14:paraId="30DC92A6" w14:textId="4CA5322F" w:rsidR="00906E99" w:rsidRPr="003F127F" w:rsidRDefault="00906E99" w:rsidP="001B2929">
            <w:pPr>
              <w:autoSpaceDE w:val="0"/>
              <w:autoSpaceDN w:val="0"/>
              <w:adjustRightInd w:val="0"/>
              <w:spacing w:after="0" w:line="240" w:lineRule="auto"/>
              <w:ind w:right="-568" w:firstLine="851"/>
              <w:jc w:val="center"/>
              <w:rPr>
                <w:rFonts w:asciiTheme="minorHAnsi" w:hAnsiTheme="minorHAnsi" w:cstheme="minorHAnsi"/>
                <w:sz w:val="24"/>
                <w:szCs w:val="24"/>
                <w:highlight w:val="darkBlue"/>
                <w:lang w:eastAsia="pt-BR"/>
              </w:rPr>
            </w:pPr>
            <w:r w:rsidRPr="003F127F">
              <w:rPr>
                <w:rFonts w:asciiTheme="minorHAnsi" w:hAnsiTheme="minorHAnsi" w:cstheme="minorHAnsi"/>
                <w:color w:val="FFFFFF" w:themeColor="background1"/>
                <w:sz w:val="24"/>
                <w:szCs w:val="24"/>
                <w:lang w:eastAsia="pt-BR"/>
              </w:rPr>
              <w:t xml:space="preserve">RENTABILIDADE </w:t>
            </w:r>
            <w:r>
              <w:rPr>
                <w:rFonts w:asciiTheme="minorHAnsi" w:hAnsiTheme="minorHAnsi" w:cstheme="minorHAnsi"/>
                <w:color w:val="FFFFFF" w:themeColor="background1"/>
                <w:sz w:val="24"/>
                <w:szCs w:val="24"/>
                <w:lang w:eastAsia="pt-BR"/>
              </w:rPr>
              <w:t>ESPERADA POR SEGMENTO</w:t>
            </w:r>
          </w:p>
        </w:tc>
      </w:tr>
      <w:tr w:rsidR="00191D48" w:rsidRPr="008B02D4" w14:paraId="38925642" w14:textId="77777777" w:rsidTr="008A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278A6D7" w14:textId="70BD0320" w:rsidR="00191D48" w:rsidRPr="00580DE0" w:rsidRDefault="00191D48" w:rsidP="00191D48">
            <w:pPr>
              <w:autoSpaceDE w:val="0"/>
              <w:autoSpaceDN w:val="0"/>
              <w:adjustRightInd w:val="0"/>
              <w:spacing w:after="0" w:line="240" w:lineRule="auto"/>
              <w:ind w:right="-568" w:firstLine="851"/>
              <w:rPr>
                <w:rFonts w:asciiTheme="minorHAnsi" w:hAnsiTheme="minorHAnsi" w:cstheme="minorHAnsi"/>
                <w:sz w:val="24"/>
                <w:szCs w:val="24"/>
                <w:highlight w:val="green"/>
                <w:lang w:eastAsia="pt-BR"/>
              </w:rPr>
            </w:pPr>
            <w:r w:rsidRPr="00906E99">
              <w:rPr>
                <w:rFonts w:asciiTheme="minorHAnsi" w:hAnsiTheme="minorHAnsi" w:cstheme="minorHAnsi"/>
                <w:sz w:val="24"/>
                <w:szCs w:val="24"/>
                <w:highlight w:val="lightGray"/>
                <w:lang w:eastAsia="pt-BR"/>
              </w:rPr>
              <w:t>RENDA FIXA</w:t>
            </w:r>
          </w:p>
        </w:tc>
        <w:tc>
          <w:tcPr>
            <w:tcW w:w="3821" w:type="dxa"/>
          </w:tcPr>
          <w:p w14:paraId="59A5614B" w14:textId="440C8B44" w:rsidR="00191D48" w:rsidRPr="008A76DB" w:rsidRDefault="00191D48" w:rsidP="00191D48">
            <w:pPr>
              <w:autoSpaceDE w:val="0"/>
              <w:autoSpaceDN w:val="0"/>
              <w:adjustRightInd w:val="0"/>
              <w:spacing w:after="0" w:line="240" w:lineRule="auto"/>
              <w:ind w:right="-568" w:firstLine="8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highlight w:val="yellow"/>
                <w:lang w:eastAsia="pt-BR"/>
              </w:rPr>
            </w:pPr>
            <w:r w:rsidRPr="001B6867">
              <w:t>9,07%</w:t>
            </w:r>
          </w:p>
        </w:tc>
      </w:tr>
      <w:tr w:rsidR="00191D48" w:rsidRPr="008B02D4" w14:paraId="788125E8" w14:textId="77777777" w:rsidTr="008A76DB">
        <w:tc>
          <w:tcPr>
            <w:cnfStyle w:val="001000000000" w:firstRow="0" w:lastRow="0" w:firstColumn="1" w:lastColumn="0" w:oddVBand="0" w:evenVBand="0" w:oddHBand="0" w:evenHBand="0" w:firstRowFirstColumn="0" w:firstRowLastColumn="0" w:lastRowFirstColumn="0" w:lastRowLastColumn="0"/>
            <w:tcW w:w="4673" w:type="dxa"/>
          </w:tcPr>
          <w:p w14:paraId="6103FDE9" w14:textId="323D50D1" w:rsidR="00191D48" w:rsidRPr="008B02D4" w:rsidRDefault="00191D48" w:rsidP="00191D48">
            <w:pPr>
              <w:autoSpaceDE w:val="0"/>
              <w:autoSpaceDN w:val="0"/>
              <w:adjustRightInd w:val="0"/>
              <w:spacing w:after="0" w:line="240" w:lineRule="auto"/>
              <w:ind w:right="-568" w:firstLine="851"/>
              <w:rPr>
                <w:rFonts w:asciiTheme="minorHAnsi" w:hAnsiTheme="minorHAnsi" w:cstheme="minorHAnsi"/>
                <w:sz w:val="24"/>
                <w:szCs w:val="24"/>
                <w:lang w:eastAsia="pt-BR"/>
              </w:rPr>
            </w:pPr>
            <w:r>
              <w:rPr>
                <w:rFonts w:asciiTheme="minorHAnsi" w:hAnsiTheme="minorHAnsi" w:cstheme="minorHAnsi"/>
                <w:sz w:val="24"/>
                <w:szCs w:val="24"/>
                <w:lang w:eastAsia="pt-BR"/>
              </w:rPr>
              <w:t>RENDA VARIÁVEL</w:t>
            </w:r>
          </w:p>
        </w:tc>
        <w:tc>
          <w:tcPr>
            <w:tcW w:w="3821" w:type="dxa"/>
          </w:tcPr>
          <w:p w14:paraId="7130CEF9" w14:textId="41358509" w:rsidR="00191D48" w:rsidRPr="008A76DB" w:rsidRDefault="00191D48" w:rsidP="00191D48">
            <w:pPr>
              <w:autoSpaceDE w:val="0"/>
              <w:autoSpaceDN w:val="0"/>
              <w:adjustRightInd w:val="0"/>
              <w:spacing w:after="0" w:line="240" w:lineRule="auto"/>
              <w:ind w:right="-568" w:firstLine="8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highlight w:val="yellow"/>
                <w:lang w:eastAsia="pt-BR"/>
              </w:rPr>
            </w:pPr>
            <w:r w:rsidRPr="001B6867">
              <w:t>9,07%</w:t>
            </w:r>
          </w:p>
        </w:tc>
      </w:tr>
      <w:tr w:rsidR="00191D48" w:rsidRPr="008B02D4" w14:paraId="2D802CA3" w14:textId="77777777" w:rsidTr="008A7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D983470" w14:textId="7C1A5D88" w:rsidR="00191D48" w:rsidRPr="008B02D4" w:rsidRDefault="00191D48" w:rsidP="00191D48">
            <w:pPr>
              <w:autoSpaceDE w:val="0"/>
              <w:autoSpaceDN w:val="0"/>
              <w:adjustRightInd w:val="0"/>
              <w:spacing w:after="0" w:line="240" w:lineRule="auto"/>
              <w:ind w:right="-568" w:firstLine="851"/>
              <w:rPr>
                <w:rFonts w:asciiTheme="minorHAnsi" w:hAnsiTheme="minorHAnsi" w:cstheme="minorHAnsi"/>
                <w:sz w:val="24"/>
                <w:szCs w:val="24"/>
                <w:lang w:eastAsia="pt-BR"/>
              </w:rPr>
            </w:pPr>
            <w:r>
              <w:rPr>
                <w:rFonts w:asciiTheme="minorHAnsi" w:hAnsiTheme="minorHAnsi" w:cstheme="minorHAnsi"/>
                <w:sz w:val="24"/>
                <w:szCs w:val="24"/>
                <w:lang w:eastAsia="pt-BR"/>
              </w:rPr>
              <w:t>ESTRUTURADO</w:t>
            </w:r>
          </w:p>
        </w:tc>
        <w:tc>
          <w:tcPr>
            <w:tcW w:w="3821" w:type="dxa"/>
          </w:tcPr>
          <w:p w14:paraId="2320699B" w14:textId="78F9DAC2" w:rsidR="00191D48" w:rsidRPr="008A76DB" w:rsidRDefault="00191D48" w:rsidP="00191D48">
            <w:pPr>
              <w:autoSpaceDE w:val="0"/>
              <w:autoSpaceDN w:val="0"/>
              <w:adjustRightInd w:val="0"/>
              <w:spacing w:after="0" w:line="240" w:lineRule="auto"/>
              <w:ind w:right="-568" w:firstLine="8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highlight w:val="yellow"/>
                <w:lang w:eastAsia="pt-BR"/>
              </w:rPr>
            </w:pPr>
            <w:r w:rsidRPr="001B6867">
              <w:t>9,07%</w:t>
            </w:r>
          </w:p>
        </w:tc>
      </w:tr>
      <w:tr w:rsidR="00191D48" w:rsidRPr="008B02D4" w14:paraId="17A534BC" w14:textId="77777777" w:rsidTr="008A76DB">
        <w:tc>
          <w:tcPr>
            <w:cnfStyle w:val="001000000000" w:firstRow="0" w:lastRow="0" w:firstColumn="1" w:lastColumn="0" w:oddVBand="0" w:evenVBand="0" w:oddHBand="0" w:evenHBand="0" w:firstRowFirstColumn="0" w:firstRowLastColumn="0" w:lastRowFirstColumn="0" w:lastRowLastColumn="0"/>
            <w:tcW w:w="4673" w:type="dxa"/>
          </w:tcPr>
          <w:p w14:paraId="3BE1739C" w14:textId="295631A7" w:rsidR="00191D48" w:rsidRDefault="00191D48" w:rsidP="00191D48">
            <w:pPr>
              <w:autoSpaceDE w:val="0"/>
              <w:autoSpaceDN w:val="0"/>
              <w:adjustRightInd w:val="0"/>
              <w:spacing w:after="0" w:line="240" w:lineRule="auto"/>
              <w:ind w:right="-568" w:firstLine="851"/>
              <w:rPr>
                <w:rFonts w:asciiTheme="minorHAnsi" w:hAnsiTheme="minorHAnsi" w:cstheme="minorHAnsi"/>
                <w:sz w:val="24"/>
                <w:szCs w:val="24"/>
                <w:lang w:eastAsia="pt-BR"/>
              </w:rPr>
            </w:pPr>
            <w:r>
              <w:rPr>
                <w:rFonts w:asciiTheme="minorHAnsi" w:hAnsiTheme="minorHAnsi" w:cstheme="minorHAnsi"/>
                <w:sz w:val="24"/>
                <w:szCs w:val="24"/>
                <w:lang w:eastAsia="pt-BR"/>
              </w:rPr>
              <w:t>INVESTIMENTO NO EXTERIOR</w:t>
            </w:r>
          </w:p>
        </w:tc>
        <w:tc>
          <w:tcPr>
            <w:tcW w:w="3821" w:type="dxa"/>
          </w:tcPr>
          <w:p w14:paraId="531CEC61" w14:textId="502E1979" w:rsidR="00191D48" w:rsidRPr="008A76DB" w:rsidRDefault="00191D48" w:rsidP="00191D48">
            <w:pPr>
              <w:autoSpaceDE w:val="0"/>
              <w:autoSpaceDN w:val="0"/>
              <w:adjustRightInd w:val="0"/>
              <w:spacing w:after="0" w:line="240" w:lineRule="auto"/>
              <w:ind w:right="-568" w:firstLine="8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highlight w:val="yellow"/>
                <w:lang w:eastAsia="pt-BR"/>
              </w:rPr>
            </w:pPr>
            <w:r w:rsidRPr="001B6867">
              <w:t>9,07%</w:t>
            </w:r>
          </w:p>
        </w:tc>
      </w:tr>
    </w:tbl>
    <w:p w14:paraId="4FE7B320" w14:textId="77777777" w:rsidR="00BE5F44" w:rsidRDefault="00BE5F44" w:rsidP="00BE5F44">
      <w:pPr>
        <w:autoSpaceDE w:val="0"/>
        <w:autoSpaceDN w:val="0"/>
        <w:adjustRightInd w:val="0"/>
        <w:spacing w:after="0" w:line="360" w:lineRule="auto"/>
        <w:ind w:right="-568"/>
        <w:jc w:val="both"/>
        <w:rPr>
          <w:rFonts w:asciiTheme="minorHAnsi" w:hAnsiTheme="minorHAnsi" w:cstheme="minorHAnsi"/>
          <w:sz w:val="24"/>
          <w:szCs w:val="24"/>
          <w:lang w:eastAsia="pt-BR"/>
        </w:rPr>
      </w:pPr>
    </w:p>
    <w:p w14:paraId="4556AB20" w14:textId="77777777" w:rsidR="0005295E" w:rsidRDefault="0005295E" w:rsidP="00BE5F44">
      <w:pPr>
        <w:autoSpaceDE w:val="0"/>
        <w:autoSpaceDN w:val="0"/>
        <w:adjustRightInd w:val="0"/>
        <w:spacing w:after="0" w:line="360" w:lineRule="auto"/>
        <w:ind w:right="-568"/>
        <w:jc w:val="both"/>
        <w:rPr>
          <w:rFonts w:asciiTheme="minorHAnsi" w:hAnsiTheme="minorHAnsi" w:cstheme="minorHAnsi"/>
          <w:sz w:val="24"/>
          <w:szCs w:val="24"/>
          <w:lang w:eastAsia="pt-BR"/>
        </w:rPr>
      </w:pPr>
    </w:p>
    <w:p w14:paraId="13AC7FBF" w14:textId="77777777" w:rsidR="0005295E" w:rsidRDefault="0005295E" w:rsidP="00BE5F44">
      <w:pPr>
        <w:autoSpaceDE w:val="0"/>
        <w:autoSpaceDN w:val="0"/>
        <w:adjustRightInd w:val="0"/>
        <w:spacing w:after="0" w:line="360" w:lineRule="auto"/>
        <w:ind w:right="-568"/>
        <w:jc w:val="both"/>
        <w:rPr>
          <w:rFonts w:asciiTheme="minorHAnsi" w:hAnsiTheme="minorHAnsi" w:cstheme="minorHAnsi"/>
          <w:sz w:val="24"/>
          <w:szCs w:val="24"/>
          <w:lang w:eastAsia="pt-BR"/>
        </w:rPr>
      </w:pPr>
    </w:p>
    <w:p w14:paraId="7B611D86" w14:textId="77777777" w:rsidR="0005295E" w:rsidRPr="008B02D4" w:rsidRDefault="0005295E" w:rsidP="00BE5F44">
      <w:pPr>
        <w:autoSpaceDE w:val="0"/>
        <w:autoSpaceDN w:val="0"/>
        <w:adjustRightInd w:val="0"/>
        <w:spacing w:after="0" w:line="360" w:lineRule="auto"/>
        <w:ind w:right="-568"/>
        <w:jc w:val="both"/>
        <w:rPr>
          <w:rFonts w:asciiTheme="minorHAnsi" w:hAnsiTheme="minorHAnsi" w:cstheme="minorHAnsi"/>
          <w:sz w:val="24"/>
          <w:szCs w:val="24"/>
          <w:lang w:eastAsia="pt-BR"/>
        </w:rPr>
      </w:pPr>
    </w:p>
    <w:p w14:paraId="40151463" w14:textId="77777777" w:rsidR="00BE5F44" w:rsidRDefault="0096298E" w:rsidP="00BE5F44">
      <w:pPr>
        <w:pStyle w:val="PargrafodaLista"/>
        <w:numPr>
          <w:ilvl w:val="0"/>
          <w:numId w:val="4"/>
        </w:numPr>
        <w:autoSpaceDE w:val="0"/>
        <w:autoSpaceDN w:val="0"/>
        <w:adjustRightInd w:val="0"/>
        <w:spacing w:before="120" w:after="120" w:line="240" w:lineRule="auto"/>
        <w:ind w:left="0" w:right="-568" w:firstLine="851"/>
        <w:jc w:val="both"/>
        <w:rPr>
          <w:rStyle w:val="Ttulo1Char"/>
          <w:rFonts w:asciiTheme="minorHAnsi" w:hAnsiTheme="minorHAnsi" w:cstheme="minorHAnsi"/>
          <w:bCs/>
          <w:szCs w:val="24"/>
        </w:rPr>
      </w:pPr>
      <w:bookmarkStart w:id="7" w:name="_Toc93910750"/>
      <w:r w:rsidRPr="008B02D4">
        <w:rPr>
          <w:rStyle w:val="Ttulo1Char"/>
          <w:rFonts w:asciiTheme="minorHAnsi" w:hAnsiTheme="minorHAnsi" w:cstheme="minorHAnsi"/>
          <w:bCs/>
          <w:szCs w:val="24"/>
        </w:rPr>
        <w:t>Metodologia de Seleção de Investimentos</w:t>
      </w:r>
      <w:r w:rsidR="005E433C" w:rsidRPr="008B02D4">
        <w:rPr>
          <w:rStyle w:val="Ttulo1Char"/>
          <w:rFonts w:asciiTheme="minorHAnsi" w:hAnsiTheme="minorHAnsi" w:cstheme="minorHAnsi"/>
          <w:bCs/>
          <w:szCs w:val="24"/>
        </w:rPr>
        <w:t xml:space="preserve"> e Precificação de Ativos</w:t>
      </w:r>
      <w:bookmarkEnd w:id="7"/>
    </w:p>
    <w:p w14:paraId="39C7AF0D" w14:textId="77777777" w:rsidR="00BE5F44" w:rsidRDefault="00BE5F44" w:rsidP="00BE5F44">
      <w:pPr>
        <w:pStyle w:val="PargrafodaLista"/>
        <w:autoSpaceDE w:val="0"/>
        <w:autoSpaceDN w:val="0"/>
        <w:adjustRightInd w:val="0"/>
        <w:spacing w:before="120" w:after="120" w:line="240" w:lineRule="auto"/>
        <w:ind w:left="851" w:right="-568"/>
        <w:jc w:val="both"/>
        <w:rPr>
          <w:rStyle w:val="Ttulo1Char"/>
          <w:rFonts w:asciiTheme="minorHAnsi" w:hAnsiTheme="minorHAnsi" w:cstheme="minorHAnsi"/>
          <w:bCs/>
          <w:szCs w:val="24"/>
        </w:rPr>
      </w:pPr>
    </w:p>
    <w:p w14:paraId="5852507F" w14:textId="361789FA" w:rsidR="00B31358" w:rsidRPr="00BE5F44" w:rsidRDefault="0096298E" w:rsidP="00BE5F44">
      <w:pPr>
        <w:pStyle w:val="PargrafodaLista"/>
        <w:autoSpaceDE w:val="0"/>
        <w:autoSpaceDN w:val="0"/>
        <w:adjustRightInd w:val="0"/>
        <w:spacing w:before="120" w:after="120" w:line="360" w:lineRule="auto"/>
        <w:ind w:left="0" w:right="-568" w:firstLine="851"/>
        <w:jc w:val="both"/>
        <w:rPr>
          <w:rFonts w:asciiTheme="minorHAnsi" w:eastAsiaTheme="majorEastAsia" w:hAnsiTheme="minorHAnsi" w:cstheme="minorHAnsi"/>
          <w:b/>
          <w:bCs/>
          <w:color w:val="000000" w:themeColor="text1"/>
          <w:sz w:val="24"/>
          <w:szCs w:val="24"/>
        </w:rPr>
      </w:pPr>
      <w:r w:rsidRPr="00BE5F44">
        <w:rPr>
          <w:rFonts w:asciiTheme="minorHAnsi" w:hAnsiTheme="minorHAnsi" w:cstheme="minorHAnsi"/>
          <w:sz w:val="24"/>
          <w:szCs w:val="24"/>
          <w:lang w:eastAsia="pt-BR"/>
        </w:rPr>
        <w:t>Os investimentos definidos de maneira macro nesta PAI, quando da efetiva execução, dentre outros critérios, serão analisados com base na avaliação risco/retorno, no contexto do portfólio global do RPPS</w:t>
      </w:r>
      <w:r w:rsidR="00945AA4" w:rsidRPr="00BE5F44">
        <w:rPr>
          <w:rFonts w:asciiTheme="minorHAnsi" w:hAnsiTheme="minorHAnsi" w:cstheme="minorHAnsi"/>
          <w:sz w:val="24"/>
          <w:szCs w:val="24"/>
          <w:lang w:eastAsia="pt-BR"/>
        </w:rPr>
        <w:t>. Deste modo, a construção da carteira visa a compartilhar a alocação em ativos com fluxos de pagamentos compatíveis com prazos e o montante das obrigações, com o objetivo de manter o equilíbrio econômico-financeiro entre ativos e passivos do plano.</w:t>
      </w:r>
    </w:p>
    <w:p w14:paraId="5293D7E6" w14:textId="2847E2F5" w:rsidR="005E433C" w:rsidRPr="008B02D4" w:rsidRDefault="005E433C" w:rsidP="00BE5F44">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lastRenderedPageBreak/>
        <w:t>A precificação dos ativos que trata o inciso V, do Art. 4° da Resolução CMN nº 4.963/2021 e alterações, será efetuada com base nas informações divulgadas pelos órgãos responsáveis, tais como B3, CVM e ANBIMA.</w:t>
      </w:r>
    </w:p>
    <w:p w14:paraId="64692B46" w14:textId="77777777" w:rsidR="006B7405" w:rsidRPr="008B02D4" w:rsidRDefault="006B7405" w:rsidP="00AF701C">
      <w:pPr>
        <w:autoSpaceDE w:val="0"/>
        <w:autoSpaceDN w:val="0"/>
        <w:adjustRightInd w:val="0"/>
        <w:spacing w:after="0" w:line="360" w:lineRule="auto"/>
        <w:ind w:right="-568"/>
        <w:jc w:val="both"/>
        <w:rPr>
          <w:rFonts w:asciiTheme="minorHAnsi" w:hAnsiTheme="minorHAnsi" w:cstheme="minorHAnsi"/>
          <w:sz w:val="24"/>
          <w:szCs w:val="24"/>
          <w:lang w:eastAsia="pt-BR"/>
        </w:rPr>
      </w:pPr>
    </w:p>
    <w:p w14:paraId="13239F41" w14:textId="05E15706" w:rsidR="00094CF9" w:rsidRPr="008B02D4" w:rsidRDefault="00B646B5" w:rsidP="004B688B">
      <w:pPr>
        <w:pStyle w:val="PargrafodaLista"/>
        <w:numPr>
          <w:ilvl w:val="0"/>
          <w:numId w:val="4"/>
        </w:numPr>
        <w:autoSpaceDE w:val="0"/>
        <w:autoSpaceDN w:val="0"/>
        <w:adjustRightInd w:val="0"/>
        <w:spacing w:before="120" w:after="120" w:line="240" w:lineRule="auto"/>
        <w:ind w:left="0" w:right="-568" w:firstLine="851"/>
        <w:jc w:val="both"/>
        <w:rPr>
          <w:rStyle w:val="Ttulo1Char"/>
          <w:rFonts w:asciiTheme="minorHAnsi" w:hAnsiTheme="minorHAnsi" w:cstheme="minorHAnsi"/>
          <w:szCs w:val="24"/>
        </w:rPr>
      </w:pPr>
      <w:bookmarkStart w:id="8" w:name="_Toc93910751"/>
      <w:r w:rsidRPr="008B02D4">
        <w:rPr>
          <w:rStyle w:val="Ttulo1Char"/>
          <w:rFonts w:asciiTheme="minorHAnsi" w:hAnsiTheme="minorHAnsi" w:cstheme="minorHAnsi"/>
          <w:szCs w:val="24"/>
        </w:rPr>
        <w:t>Melhores Praticas</w:t>
      </w:r>
      <w:bookmarkEnd w:id="8"/>
    </w:p>
    <w:p w14:paraId="4576EFE8" w14:textId="77777777" w:rsidR="00D5474A" w:rsidRPr="008B02D4" w:rsidRDefault="00D5474A"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478E726D" w14:textId="71829CC8" w:rsidR="00094CF9" w:rsidRPr="008B02D4" w:rsidRDefault="00B646B5"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Os regimes próprios de previdência social que comprovarem a adoção de melhores práticas de gestão previdenciária à Secretaria de Previdência, conforme 4 (quatro) níveis crescentes de aderência na forma por ela estabelecida, terão os limites para aplicação dos recursos nos ativos elevados.</w:t>
      </w:r>
    </w:p>
    <w:p w14:paraId="09F7F10C" w14:textId="65D69F06" w:rsidR="00BE5A1E" w:rsidRPr="008B02D4" w:rsidRDefault="00B646B5" w:rsidP="00C80C8B">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Entretanto</w:t>
      </w:r>
      <w:r w:rsidR="00794BFF" w:rsidRPr="008B02D4">
        <w:rPr>
          <w:rFonts w:asciiTheme="minorHAnsi" w:hAnsiTheme="minorHAnsi" w:cstheme="minorHAnsi"/>
          <w:sz w:val="24"/>
          <w:szCs w:val="24"/>
          <w:lang w:eastAsia="pt-BR"/>
        </w:rPr>
        <w:t>,</w:t>
      </w:r>
      <w:r w:rsidRPr="008B02D4">
        <w:rPr>
          <w:rFonts w:asciiTheme="minorHAnsi" w:hAnsiTheme="minorHAnsi" w:cstheme="minorHAnsi"/>
          <w:sz w:val="24"/>
          <w:szCs w:val="24"/>
          <w:lang w:eastAsia="pt-BR"/>
        </w:rPr>
        <w:t xml:space="preserve"> os RPPS que não alcançarem os níveis de governança previstos</w:t>
      </w:r>
      <w:r w:rsidR="00794BFF" w:rsidRPr="008B02D4">
        <w:rPr>
          <w:rFonts w:asciiTheme="minorHAnsi" w:hAnsiTheme="minorHAnsi" w:cstheme="minorHAnsi"/>
          <w:sz w:val="24"/>
          <w:szCs w:val="24"/>
          <w:lang w:eastAsia="pt-BR"/>
        </w:rPr>
        <w:t xml:space="preserve"> na Resolução CMN 4</w:t>
      </w:r>
      <w:r w:rsidR="003F4C85">
        <w:rPr>
          <w:rFonts w:asciiTheme="minorHAnsi" w:hAnsiTheme="minorHAnsi" w:cstheme="minorHAnsi"/>
          <w:sz w:val="24"/>
          <w:szCs w:val="24"/>
          <w:lang w:eastAsia="pt-BR"/>
        </w:rPr>
        <w:t>.</w:t>
      </w:r>
      <w:r w:rsidR="00794BFF" w:rsidRPr="008B02D4">
        <w:rPr>
          <w:rFonts w:asciiTheme="minorHAnsi" w:hAnsiTheme="minorHAnsi" w:cstheme="minorHAnsi"/>
          <w:sz w:val="24"/>
          <w:szCs w:val="24"/>
          <w:lang w:eastAsia="pt-BR"/>
        </w:rPr>
        <w:t>963/21</w:t>
      </w:r>
      <w:r w:rsidRPr="008B02D4">
        <w:rPr>
          <w:rFonts w:asciiTheme="minorHAnsi" w:hAnsiTheme="minorHAnsi" w:cstheme="minorHAnsi"/>
          <w:sz w:val="24"/>
          <w:szCs w:val="24"/>
          <w:lang w:eastAsia="pt-BR"/>
        </w:rPr>
        <w:t xml:space="preserve"> no § 7</w:t>
      </w:r>
      <w:r w:rsidR="00794BFF" w:rsidRPr="008B02D4">
        <w:rPr>
          <w:rFonts w:asciiTheme="minorHAnsi" w:hAnsiTheme="minorHAnsi" w:cstheme="minorHAnsi"/>
          <w:sz w:val="24"/>
          <w:szCs w:val="24"/>
          <w:lang w:eastAsia="pt-BR"/>
        </w:rPr>
        <w:t>º subordinam</w:t>
      </w:r>
      <w:r w:rsidRPr="008B02D4">
        <w:rPr>
          <w:rFonts w:asciiTheme="minorHAnsi" w:hAnsiTheme="minorHAnsi" w:cstheme="minorHAnsi"/>
          <w:sz w:val="24"/>
          <w:szCs w:val="24"/>
          <w:lang w:eastAsia="pt-BR"/>
        </w:rPr>
        <w:t xml:space="preserve">-se </w:t>
      </w:r>
      <w:r w:rsidR="006E71CD" w:rsidRPr="008B02D4">
        <w:rPr>
          <w:rFonts w:asciiTheme="minorHAnsi" w:hAnsiTheme="minorHAnsi" w:cstheme="minorHAnsi"/>
          <w:sz w:val="24"/>
          <w:szCs w:val="24"/>
          <w:lang w:eastAsia="pt-BR"/>
        </w:rPr>
        <w:t>a</w:t>
      </w:r>
      <w:r w:rsidR="008746C4" w:rsidRPr="008B02D4">
        <w:rPr>
          <w:rFonts w:asciiTheme="minorHAnsi" w:hAnsiTheme="minorHAnsi" w:cstheme="minorHAnsi"/>
          <w:sz w:val="24"/>
          <w:szCs w:val="24"/>
          <w:lang w:eastAsia="pt-BR"/>
        </w:rPr>
        <w:t>o</w:t>
      </w:r>
      <w:r w:rsidR="006E71CD" w:rsidRPr="008B02D4">
        <w:rPr>
          <w:rFonts w:asciiTheme="minorHAnsi" w:hAnsiTheme="minorHAnsi" w:cstheme="minorHAnsi"/>
          <w:sz w:val="24"/>
          <w:szCs w:val="24"/>
          <w:lang w:eastAsia="pt-BR"/>
        </w:rPr>
        <w:t>s limites padrão</w:t>
      </w:r>
      <w:r w:rsidRPr="008B02D4">
        <w:rPr>
          <w:rFonts w:asciiTheme="minorHAnsi" w:hAnsiTheme="minorHAnsi" w:cstheme="minorHAnsi"/>
          <w:sz w:val="24"/>
          <w:szCs w:val="24"/>
          <w:lang w:eastAsia="pt-BR"/>
        </w:rPr>
        <w:t>.</w:t>
      </w:r>
    </w:p>
    <w:p w14:paraId="269C4E8F" w14:textId="5A7A39AD" w:rsidR="00F27D64" w:rsidRDefault="00F27D64" w:rsidP="004B688B">
      <w:pPr>
        <w:pStyle w:val="Ttulo1"/>
        <w:numPr>
          <w:ilvl w:val="0"/>
          <w:numId w:val="4"/>
        </w:numPr>
        <w:ind w:left="0" w:right="-568" w:firstLine="851"/>
        <w:rPr>
          <w:rFonts w:asciiTheme="minorHAnsi" w:hAnsiTheme="minorHAnsi" w:cstheme="minorHAnsi"/>
          <w:szCs w:val="24"/>
          <w:lang w:eastAsia="pt-BR"/>
        </w:rPr>
      </w:pPr>
      <w:bookmarkStart w:id="9" w:name="_Toc93910752"/>
      <w:r w:rsidRPr="008B02D4">
        <w:rPr>
          <w:rFonts w:asciiTheme="minorHAnsi" w:hAnsiTheme="minorHAnsi" w:cstheme="minorHAnsi"/>
          <w:szCs w:val="24"/>
          <w:lang w:eastAsia="pt-BR"/>
        </w:rPr>
        <w:t>Cenário</w:t>
      </w:r>
      <w:bookmarkEnd w:id="9"/>
      <w:r w:rsidRPr="008B02D4">
        <w:rPr>
          <w:rFonts w:asciiTheme="minorHAnsi" w:hAnsiTheme="minorHAnsi" w:cstheme="minorHAnsi"/>
          <w:szCs w:val="24"/>
          <w:lang w:eastAsia="pt-BR"/>
        </w:rPr>
        <w:t xml:space="preserve"> </w:t>
      </w:r>
    </w:p>
    <w:p w14:paraId="0688A4ED" w14:textId="77777777" w:rsidR="00C80C8B" w:rsidRPr="00C80C8B" w:rsidRDefault="00C80C8B" w:rsidP="00C80C8B">
      <w:pPr>
        <w:rPr>
          <w:lang w:eastAsia="pt-BR"/>
        </w:rPr>
      </w:pPr>
    </w:p>
    <w:p w14:paraId="636BF436"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 xml:space="preserve">No cenário internacional, o curso da economia global tem uma perspectiva de melhora, frente ao início das previsões em 2023, apesar do ciclo de aperto monetário nas economias ocidentais. </w:t>
      </w:r>
    </w:p>
    <w:p w14:paraId="3F84BA6E"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Nos Estados Unidos, o PIB cresceu 2,1% devido à expansão do consumo das famílias, do investimento privado</w:t>
      </w:r>
      <w:r w:rsidRPr="00ED7F19">
        <w:rPr>
          <w:rFonts w:asciiTheme="minorHAnsi" w:hAnsiTheme="minorHAnsi" w:cstheme="minorHAnsi"/>
          <w:sz w:val="24"/>
          <w:szCs w:val="24"/>
          <w:lang w:eastAsia="pt-BR"/>
        </w:rPr>
        <w:tab/>
        <w:t xml:space="preserve">e dos gastos do governo, contrapondo-se à contribuição negativa das exportações. O período de elevação da taxa de juros básica por parte do Federal Reserve afetou os investimentos residenciais, tipicamente sensíveis a variações das taxas de juros. Contudo, os efeitos da contração monetária, em parte, foram neutralizados pela atuação do Estado. O aumento de gastos públicos com investimentos e consumo nos últimos quatro trimestres (segundo dados do Bureau of Economic Analysis) contribuiu positivamente para a variação anualizada do PIB segundo a ótica da demanda com 0,6%.  Além da atuação da política fiscal expansionista, medidas como o Inflation Reduction Act, que incentivou a produção de energia renovável e veículos elétricos, e a lei dos chips, que fomentou o investimento em semicondutores, foram adotadas. Em setembro, o mercado, que tem </w:t>
      </w:r>
      <w:r w:rsidRPr="00ED7F19">
        <w:rPr>
          <w:rFonts w:asciiTheme="minorHAnsi" w:hAnsiTheme="minorHAnsi" w:cstheme="minorHAnsi"/>
          <w:sz w:val="24"/>
          <w:szCs w:val="24"/>
          <w:lang w:eastAsia="pt-BR"/>
        </w:rPr>
        <w:lastRenderedPageBreak/>
        <w:t xml:space="preserve">subestimado a trajetória do PIB, reviu sua expectativa de 2023 para uma elevação de 2% e de e de 0,8% para 1,2% em 2024, de acordo com a Bloomberg e o Itaú BBA. Até o momento, há contrariedade de um cenário recessivo para a economia americana. </w:t>
      </w:r>
    </w:p>
    <w:p w14:paraId="61F0DD62" w14:textId="71FFCDE6"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A China experimentou taxas interanuais elevadas de crescimento econômico (4,5% e 6,3% nos primeiro e segundo trimestre do ano), devido ao efeito da reabertura econômica, retomando uma trajetória de crescimento econômico após o crescimento de 3% em 2022, baixo para o padrão histórico. No segundo semestre, o país enfrenta crise no setor imobiliário e a descrença com a continuidade do processo de retomada do crescimento, devido aos dados de confiança do consumidor, deflação do produtor e queda do valor das exportações, importações e dos investimentos privados. Entre junho e setembro, a expectativa do PIB chinês para 2023 passou de 5,1% para 4,9% e de 4,3% para 4,1% em 2024, de acordo com o Itaú BBA.</w:t>
      </w:r>
      <w:r w:rsidR="00083040">
        <w:rPr>
          <w:rFonts w:asciiTheme="minorHAnsi" w:hAnsiTheme="minorHAnsi" w:cstheme="minorHAnsi"/>
          <w:sz w:val="24"/>
          <w:szCs w:val="24"/>
          <w:lang w:eastAsia="pt-BR"/>
        </w:rPr>
        <w:t xml:space="preserve"> </w:t>
      </w:r>
      <w:r w:rsidRPr="00ED7F19">
        <w:rPr>
          <w:rFonts w:asciiTheme="minorHAnsi" w:hAnsiTheme="minorHAnsi" w:cstheme="minorHAnsi"/>
          <w:sz w:val="24"/>
          <w:szCs w:val="24"/>
          <w:lang w:eastAsia="pt-BR"/>
        </w:rPr>
        <w:t>Como uma reação ao perigo de desaceleração, as autoridades adotaram medidas de expansão monetária para estimular a demanda doméstica, visando atingir a meta de crescimento planejada para o ano. Dados de agosto sugerem uma reação por parte da indústria e comércio, afastando um cenário mais pessimista.</w:t>
      </w:r>
    </w:p>
    <w:p w14:paraId="7069E71E"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Já a Europa enfrenta um processo de desinflação mais lento, tendendo a prolongar o período de contração monetária. Esse é o principal vetor de contenção de maior dinamismo no comércio internacional. A expectativa de crescimento do PIB para a região em 2023 passou de 0,6% em junho para 0,5% em setembro.</w:t>
      </w:r>
    </w:p>
    <w:p w14:paraId="29D46708"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 xml:space="preserve">Na região do Mercosul, o foco de atenção é a economia da Argentina, que enfrenta o problema estrutural de balança de pagamentos, com o endividamento líquido em dólares norte-americanos, somado a um elemento conjuntural devido ao problema climático que afetou as exportações do complexo da soja e agravou a crise externa. Nesse contexto, as inevitáveis desvalorizações cambiais retroalimentam um processo de hiperinflação e descontentamento social em um ano eleitoral. </w:t>
      </w:r>
    </w:p>
    <w:p w14:paraId="54815E92"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 xml:space="preserve">O Banco Mundial em seu relatório de Perspectivas Econômicas Globais revisou a previsão de crescimento global de 2023, já que os Estados Unidos, Europa e outras economias se mostraram mais resilientes do que o esperado. Entretanto, o cenário de altas taxas de juros </w:t>
      </w:r>
      <w:r w:rsidRPr="00ED7F19">
        <w:rPr>
          <w:rFonts w:asciiTheme="minorHAnsi" w:hAnsiTheme="minorHAnsi" w:cstheme="minorHAnsi"/>
          <w:sz w:val="24"/>
          <w:szCs w:val="24"/>
          <w:lang w:eastAsia="pt-BR"/>
        </w:rPr>
        <w:lastRenderedPageBreak/>
        <w:t>(postura hawkish dos BCs) deve permanecer e exercer um forte impacto nos resultados de 2024, principalmente na redução de investimentos e condições de crédito mais restritivas. O PIB global real deve subir 2,1% 2023, resultado abaixo da taxa de crescimento de 2022 de 3,1%. Para 2024, a perspectiva é de um crescimento de 2,4%, desconsiderando o possível estresse bancário e uma grave crise de crédito que reduziria esta previsão para 1,3%. Ainda de acordo com o Banco Mundial, a inflação deve cair gradualmente à medida que o crescimento desacelera e a demanda por trabalho em muitas economias diminui, e os preços das commodities permanecem estáveis. Mas, o núcleo da inflação deve permanecer acima das metas dos bancos centrais em muitos países ao longo de 2024.</w:t>
      </w:r>
    </w:p>
    <w:p w14:paraId="0215D784"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 xml:space="preserve">No cenário doméstico, era considerada uma desaceleração da atividade econômica brasileira para o ano de 2023 na comparação com o ano de 2022 como efeito do crescimento global tímido e os efeitos da política monetária restritiva global. O resultado estimado era um crescimento de 0,9%. Entretanto, passou-se a observar em 2023, um cenário positivo para as exportações: a queda do preço internacional das commodities não afetou o ritmo de exportações, que passaram a apresentar expressivo aumento nas quantidades vendidas e sua participação frente ao mercado mundial, principalmente o petróleo e a soja, que supriram a demanda que antes era atendida por outros concorrentes internacionais. De acordo com o Itaú BBA, a estimativa do PIB de 2023 é de 2,9% e de 2024 de 1,5%. Para o Boletim Focus, a mediana para o PIB de 2023 é de 2,89%. Para 2024, 1,5%; para 2025, 1,95%; e para 2026 2%. </w:t>
      </w:r>
    </w:p>
    <w:p w14:paraId="1AF99994"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 xml:space="preserve">Além disso, a demanda interna também teve expansão, considerando o aumento de renda disponível por conta da elevação do salário-mínimo e pela continuidade dos programas de transferência de renda, aumentando a participação do consumo das famílias no PIB. Já para 2024, espera-se um aumento marginal no consumo das famílias 1,6%. O ICC/FGV avançou pelo quarto mês consecutivo. Em agosto, a alta foi de 2 pontos para 96,8 pontos, o maior nível desde fevereiro de 2014 (97 pontos). Em médias móveis trimestrais, o índice subiu 2,9 pontos, a quinta alta consecutiva, para 94,6 pontos. Este aumento da confiança do consumidor é resultado direto da redução na taxa de desemprego, passando de 8,7% no trimestre de julho, agosto e setembro de 2022 para 8% no mesmo período de 2023, de acordo com os dados da </w:t>
      </w:r>
      <w:r w:rsidRPr="00ED7F19">
        <w:rPr>
          <w:rFonts w:asciiTheme="minorHAnsi" w:hAnsiTheme="minorHAnsi" w:cstheme="minorHAnsi"/>
          <w:sz w:val="24"/>
          <w:szCs w:val="24"/>
          <w:lang w:eastAsia="pt-BR"/>
        </w:rPr>
        <w:lastRenderedPageBreak/>
        <w:t xml:space="preserve">PNAD Contínua (IBGE) e dos programas de redução da inadimplência, como o Programa Desenrola Brasil. Estima-se que o desemprego se mantenha em 8% em 2024. </w:t>
      </w:r>
    </w:p>
    <w:p w14:paraId="74858633"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Todavia, deve-se notar o desempenho da arrecadação tributária, que, apesar do ritmo de crescimento, sofreu queda, apresentando déficit primário de R$ 26,35 bilhões em agosto de 2023. No acumulado dos oito primeiros meses do ano, foi apurado déficit primário de R$ 104,59 bilhões. A principal incerteza ainda recaí sobre a política fiscal, principalmente por conta da troca da âncora fiscal, que passou do “Teto de Gastos” (EC 95/2016) para o “Novo Arcabouço Fiscal” (PLP 93/2023), e como o atual governo irá cumprir o novo regime que condiciona maiores gastos do governo ao cumprimento de metas de resultado primário, buscando conter o endividamento e criando condições para a redução de juros e garantia de crescimento econômico. O Novo Arcabouço estabelece uma meta primária que funciona como uma banda flutuante entre -0,25% e +0,25% do crescimento real da economia no ano anterior. Pela LDO 2024, as metas para 2024, 2025 e 2026 serão, respectivamente, 0%, 0,5% e 1% do PIB, com banda de 0,25%. A aprovação e implementação das medidas de recomposição das receitas é fundamental para o sucesso do arcabouço fiscal e da trajetória prometida de convergência do resultado primário. Nesse contexto, o Itaú BBA estimou déficits primários de 1% do PIB em 2023 e de 0,8% do PIB em 2024 e dívida bruta em 75% e 78% do PIB para esses anos, respectivamente.</w:t>
      </w:r>
    </w:p>
    <w:p w14:paraId="417A55A7"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Em meio a desconfianças no mercado sobre cumprimento da meta fiscal zero do governo federal em 2024, o Boletim Focus mostrou uma leve redução no déficit primário esperado para 2024 após a apresentação pelo governo do projeto de lei orçamentária do ano que vem e das medidas de arrecadação extra para buscar o resultado primário neutro ao Congresso. O Ministério da Fazenda espera arrecadar R$ 168 bilhões em medidas extras. A estimativa para o indicador que mede a relação entre a dívida líquida do setor público e o PIB em 2024 se manteve em 63,95%, de 64% há quatro semanas. Para este ano, a estimativa para a dívida líquida variou de 60,60% para 60,45%. Há quatro semanas, a expectativa era de 60,60% do PIB. O Ministério da Fazenda sustenta que deve entregar um resultado deficitário de 1% do PIB em 2023, ou menor.</w:t>
      </w:r>
    </w:p>
    <w:p w14:paraId="0D34BCB7"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lastRenderedPageBreak/>
        <w:t xml:space="preserve">Esta incerteza é um dos fatores que prejudica o nível de confiança empresarial e de investimentos na economia. No mês de setembro, o ICE/FGV caiu 0,7 ponto para 94,1 pontos. Com a queda, o índice registra o quarto mês consecutivo em uma faixa de confiança moderadamente baixa, entre 94 e 95 pontos. </w:t>
      </w:r>
    </w:p>
    <w:p w14:paraId="3B38722D"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O IBC-Br divulgado em setembro, refletindo o resultado de julho, apontou crescimento de 0,44% da atividade econômica na comparação com junho.</w:t>
      </w:r>
    </w:p>
    <w:p w14:paraId="7F80FCF0"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Na parte financeira, a queda do fluxo de investimentos diretos líquidos no país de 2023 foi compensada pelo aumento dos investimentos em carteira. No acumulado em 12 meses até agosto, o saldo da conta de investimentos diretos no país é de US$ 65,9 bilhões (ante US$ 71,7 bilhões no mesmo período do ano anterior), superior aos observados no período pré-pandemia. Já os investimentos em carteira somaram ingressos líquidos de US$ 11,3 bilhões no acumulado em 12 meses terminados em agosto de 2023, perante um saldo igual a zero em agosto de 2022, nessa base de comparação.</w:t>
      </w:r>
    </w:p>
    <w:p w14:paraId="1274862A"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 xml:space="preserve">O diferencial de juros interno em relação ao externo é um elemento importante de atração em ativos domésticos, bem como a relação risco-país. Esse diferencial começou a diminuir a partir do início de agosto, com a decisão do Copom de reduzir a taxa Selic em 0,5% associada ao anúncio de mais reduções nesse ritmo. Já o risco soberano do país calculado pela Fitch Rating, está em BB, pela S&amp;P, a nota é BB- e a Moody’s avalia o risco de crédito como Ba2, todas dentro do grau especulativo, mas que vem apresentando uma melhora ano a ano. </w:t>
      </w:r>
    </w:p>
    <w:p w14:paraId="1B4BC038"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 xml:space="preserve">A respeito da política monetária, as estimativas do Boletim Focus continuam acima da meta. Para 2023, apesar da baixa observada, a mediana supera o teto da meta (4,75%) e indica estouro do objetivo a ser perseguido pelo BC pelo terceiro ano consecutivo, depois de 2021 e 2022. Os fatores que levaram a inflação em 2022 a ultrapassar o limite superior de tolerância foram: i) a inércia inflacionária; ii) a elevação dos preços de commodities, sobretudo petróleo; iii) os desequilíbrios entre demanda e oferta de insumos e gargalos nas cadeias produtivas globais; iv) os choques em preços de alimentação afetados por questões climáticas; e v) a retomada na demanda de serviços e no emprego, reflexo da redução de casos de Covid-19 e do aumento da mobilidade.  Por sua vez, as razões que agiram no sentido contrário, </w:t>
      </w:r>
      <w:r w:rsidRPr="00ED7F19">
        <w:rPr>
          <w:rFonts w:asciiTheme="minorHAnsi" w:hAnsiTheme="minorHAnsi" w:cstheme="minorHAnsi"/>
          <w:sz w:val="24"/>
          <w:szCs w:val="24"/>
          <w:lang w:eastAsia="pt-BR"/>
        </w:rPr>
        <w:lastRenderedPageBreak/>
        <w:t>reduzindo o desvio da inflação em relação à meta, foram i) a redução na tributação sobre combustíveis, energia elétrica e telecomunicações; ii) o comportamento da bandeira de energia elétrica, que passou de escassez hídrica para bandeira verde; iii) a apreciação cambial; e iv) a permanência do hiato do produto no campo negativo.</w:t>
      </w:r>
    </w:p>
    <w:p w14:paraId="4419D858"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Para o final de 2023, a projeção é de 4,9%. Nos outros anos, as expectativas estão dentro do intervalo, mas superam o alvo central de 3%. Em agosto, o BCB divulgou projeção de 3,4% para o IPCA de 2024, a mesma taxa da reunião anterior. Para 2025, ficou em 3%. O efeito inercial da inflação, bem como o efeito sobre o prêmio de risco e a taxa de câmbio das incertezas relacionadas à sustentabilidade da trajetória da dívida pública (em um cenário de estímulos fiscais e indefinição quanto ao desenho do novo arcabouço fiscal), pode estar contribuindo para a manutenção das expectativas em patamares mais elevados.</w:t>
      </w:r>
    </w:p>
    <w:p w14:paraId="2E8D840F"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A expectativa para taxa Selic no fim de 2023 foi mantida entre 11,5% e 11,75%. A expectativa segue a sinalização dada pelo Copom de continuidade do ritmo de corte de juro em 0,5%, inaugurando o ciclo de queda dos juros brasileiro, conforme trajetórias descendentes observada em níveis pré-pandemia. Em setembro, o juro básico da economia está em 13,25%. Para 2024 a mediana se manteve em 9%. Para 2025 e 2026 as expectativas continuam em 8,5%.</w:t>
      </w:r>
    </w:p>
    <w:p w14:paraId="060FEFFF"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O cenário esperado para o câmbio brasileiro também melhorou e a estimativa para este ano passou de R$ 5,00 para R$ 4,95. Para 2024, a mediana passou de R$ 5,02 para R$ 5,00.</w:t>
      </w:r>
    </w:p>
    <w:p w14:paraId="44493034" w14:textId="4C851421" w:rsid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De acordo com o último Boletim Focus (29/09/2023) observa-se realmente que as expectativas inflacionárias retomaram a trajetória de baixa. A projeção para a inflação oficial em 2023 cedeu está em 4,86%. Um mês antes, a mediana era de 4,92%. Para 2024, foco da política monetária, a projeção está em 3,87%. Para 2025, que tem peso minoritário nas decisões do Copom, a projeção continuou em 3,5%, repetindo a mediana de quatro semanas antes. No horizonte mais longo, de 2026, também houve manutenção da estimativa em 3,5%, como há um mês.</w:t>
      </w:r>
    </w:p>
    <w:tbl>
      <w:tblPr>
        <w:tblW w:w="9067" w:type="dxa"/>
        <w:tblCellMar>
          <w:left w:w="70" w:type="dxa"/>
          <w:right w:w="70" w:type="dxa"/>
        </w:tblCellMar>
        <w:tblLook w:val="04A0" w:firstRow="1" w:lastRow="0" w:firstColumn="1" w:lastColumn="0" w:noHBand="0" w:noVBand="1"/>
      </w:tblPr>
      <w:tblGrid>
        <w:gridCol w:w="2816"/>
        <w:gridCol w:w="1148"/>
        <w:gridCol w:w="931"/>
        <w:gridCol w:w="1356"/>
        <w:gridCol w:w="1072"/>
        <w:gridCol w:w="1744"/>
      </w:tblGrid>
      <w:tr w:rsidR="00ED7F19" w:rsidRPr="00ED7F19" w14:paraId="57F803E0" w14:textId="77777777" w:rsidTr="00EC39F2">
        <w:trPr>
          <w:trHeight w:val="263"/>
        </w:trPr>
        <w:tc>
          <w:tcPr>
            <w:tcW w:w="9067" w:type="dxa"/>
            <w:gridSpan w:val="6"/>
            <w:tcBorders>
              <w:top w:val="single" w:sz="4" w:space="0" w:color="auto"/>
              <w:left w:val="single" w:sz="4" w:space="0" w:color="auto"/>
              <w:bottom w:val="single" w:sz="4" w:space="0" w:color="auto"/>
              <w:right w:val="single" w:sz="4" w:space="0" w:color="auto"/>
            </w:tcBorders>
            <w:shd w:val="clear" w:color="auto" w:fill="1F3864" w:themeFill="accent1" w:themeFillShade="80"/>
            <w:vAlign w:val="bottom"/>
            <w:hideMark/>
          </w:tcPr>
          <w:p w14:paraId="000EEF1E" w14:textId="3E821295" w:rsidR="00ED7F19" w:rsidRPr="00673AEA" w:rsidRDefault="00ED7F19" w:rsidP="00C80C8B">
            <w:pPr>
              <w:spacing w:after="0" w:line="240" w:lineRule="auto"/>
              <w:ind w:right="-568" w:firstLine="851"/>
              <w:jc w:val="center"/>
              <w:rPr>
                <w:rFonts w:eastAsia="Times New Roman" w:cs="Calibri"/>
                <w:b/>
                <w:bCs/>
                <w:sz w:val="16"/>
                <w:szCs w:val="16"/>
                <w:vertAlign w:val="subscript"/>
                <w:lang w:eastAsia="pt-BR"/>
              </w:rPr>
            </w:pPr>
            <w:r w:rsidRPr="00ED7F19">
              <w:rPr>
                <w:rFonts w:cs="Calibri"/>
                <w:sz w:val="16"/>
                <w:szCs w:val="16"/>
                <w:lang w:eastAsia="pt-BR"/>
              </w:rPr>
              <w:br w:type="page"/>
            </w:r>
            <w:r w:rsidRPr="00ED7F19">
              <w:rPr>
                <w:rFonts w:eastAsia="Times New Roman" w:cs="Calibri"/>
                <w:b/>
                <w:bCs/>
                <w:sz w:val="16"/>
                <w:szCs w:val="16"/>
                <w:lang w:eastAsia="pt-BR"/>
              </w:rPr>
              <w:t>2023</w:t>
            </w:r>
            <w:r w:rsidR="00673AEA">
              <w:rPr>
                <w:rFonts w:eastAsia="Times New Roman" w:cs="Calibri"/>
                <w:b/>
                <w:bCs/>
                <w:sz w:val="16"/>
                <w:szCs w:val="16"/>
                <w:vertAlign w:val="subscript"/>
                <w:lang w:eastAsia="pt-BR"/>
              </w:rPr>
              <w:softHyphen/>
            </w:r>
            <w:r w:rsidR="00673AEA">
              <w:rPr>
                <w:rFonts w:eastAsia="Times New Roman" w:cs="Calibri"/>
                <w:b/>
                <w:bCs/>
                <w:sz w:val="16"/>
                <w:szCs w:val="16"/>
                <w:vertAlign w:val="subscript"/>
                <w:lang w:eastAsia="pt-BR"/>
              </w:rPr>
              <w:softHyphen/>
            </w:r>
          </w:p>
        </w:tc>
      </w:tr>
      <w:tr w:rsidR="00EC39F2" w:rsidRPr="00ED7F19" w14:paraId="2B03B43B" w14:textId="77777777" w:rsidTr="00EC39F2">
        <w:trPr>
          <w:trHeight w:val="461"/>
        </w:trPr>
        <w:tc>
          <w:tcPr>
            <w:tcW w:w="2816"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60B98822" w14:textId="77777777" w:rsidR="00ED7F19" w:rsidRPr="00ED7F19" w:rsidRDefault="00ED7F19" w:rsidP="00C80C8B">
            <w:pPr>
              <w:spacing w:after="0" w:line="240" w:lineRule="auto"/>
              <w:ind w:right="-568" w:firstLine="851"/>
              <w:jc w:val="center"/>
              <w:rPr>
                <w:rFonts w:eastAsia="Times New Roman" w:cs="Calibri"/>
                <w:b/>
                <w:bCs/>
                <w:sz w:val="16"/>
                <w:szCs w:val="16"/>
                <w:lang w:eastAsia="pt-BR"/>
              </w:rPr>
            </w:pPr>
            <w:r w:rsidRPr="00ED7F19">
              <w:rPr>
                <w:rFonts w:eastAsia="Times New Roman" w:cs="Calibri"/>
                <w:b/>
                <w:bCs/>
                <w:sz w:val="16"/>
                <w:szCs w:val="16"/>
                <w:lang w:eastAsia="pt-BR"/>
              </w:rPr>
              <w:lastRenderedPageBreak/>
              <w:t>Parâmetros</w:t>
            </w:r>
          </w:p>
        </w:tc>
        <w:tc>
          <w:tcPr>
            <w:tcW w:w="1148" w:type="dxa"/>
            <w:tcBorders>
              <w:top w:val="nil"/>
              <w:left w:val="nil"/>
              <w:bottom w:val="single" w:sz="4" w:space="0" w:color="auto"/>
              <w:right w:val="single" w:sz="4" w:space="0" w:color="auto"/>
            </w:tcBorders>
            <w:shd w:val="clear" w:color="auto" w:fill="1F3864" w:themeFill="accent1" w:themeFillShade="80"/>
            <w:vAlign w:val="center"/>
            <w:hideMark/>
          </w:tcPr>
          <w:p w14:paraId="48A86D13" w14:textId="085B69FA" w:rsidR="00ED7F19" w:rsidRPr="00ED7F19" w:rsidRDefault="00C80C8B" w:rsidP="00C80C8B">
            <w:pPr>
              <w:spacing w:after="0" w:line="240" w:lineRule="auto"/>
              <w:ind w:right="-568" w:hanging="429"/>
              <w:rPr>
                <w:rFonts w:eastAsia="Times New Roman" w:cs="Calibri"/>
                <w:b/>
                <w:bCs/>
                <w:sz w:val="16"/>
                <w:szCs w:val="16"/>
                <w:lang w:eastAsia="pt-BR"/>
              </w:rPr>
            </w:pPr>
            <w:r>
              <w:rPr>
                <w:rFonts w:eastAsia="Times New Roman" w:cs="Calibri"/>
                <w:b/>
                <w:bCs/>
                <w:sz w:val="16"/>
                <w:szCs w:val="16"/>
                <w:lang w:eastAsia="pt-BR"/>
              </w:rPr>
              <w:t xml:space="preserve">            </w:t>
            </w:r>
            <w:r w:rsidR="00ED7F19" w:rsidRPr="00ED7F19">
              <w:rPr>
                <w:rFonts w:eastAsia="Times New Roman" w:cs="Calibri"/>
                <w:b/>
                <w:bCs/>
                <w:sz w:val="16"/>
                <w:szCs w:val="16"/>
                <w:lang w:eastAsia="pt-BR"/>
              </w:rPr>
              <w:t>Há 4 semanas</w:t>
            </w:r>
          </w:p>
        </w:tc>
        <w:tc>
          <w:tcPr>
            <w:tcW w:w="931" w:type="dxa"/>
            <w:tcBorders>
              <w:top w:val="nil"/>
              <w:left w:val="nil"/>
              <w:bottom w:val="single" w:sz="4" w:space="0" w:color="auto"/>
              <w:right w:val="single" w:sz="4" w:space="0" w:color="auto"/>
            </w:tcBorders>
            <w:shd w:val="clear" w:color="auto" w:fill="1F3864" w:themeFill="accent1" w:themeFillShade="80"/>
            <w:vAlign w:val="center"/>
            <w:hideMark/>
          </w:tcPr>
          <w:p w14:paraId="006D3AE3"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Há 1 semana</w:t>
            </w:r>
          </w:p>
        </w:tc>
        <w:tc>
          <w:tcPr>
            <w:tcW w:w="1356" w:type="dxa"/>
            <w:tcBorders>
              <w:top w:val="nil"/>
              <w:left w:val="nil"/>
              <w:bottom w:val="single" w:sz="4" w:space="0" w:color="auto"/>
              <w:right w:val="single" w:sz="4" w:space="0" w:color="auto"/>
            </w:tcBorders>
            <w:shd w:val="clear" w:color="auto" w:fill="1F3864" w:themeFill="accent1" w:themeFillShade="80"/>
            <w:vAlign w:val="center"/>
            <w:hideMark/>
          </w:tcPr>
          <w:p w14:paraId="7978C6CA" w14:textId="77777777" w:rsidR="00ED7F19" w:rsidRPr="00ED7F19" w:rsidRDefault="00ED7F19" w:rsidP="00C80C8B">
            <w:pPr>
              <w:spacing w:after="0" w:line="240" w:lineRule="auto"/>
              <w:ind w:right="-568" w:firstLine="414"/>
              <w:rPr>
                <w:rFonts w:eastAsia="Times New Roman" w:cs="Calibri"/>
                <w:b/>
                <w:bCs/>
                <w:sz w:val="16"/>
                <w:szCs w:val="16"/>
                <w:lang w:eastAsia="pt-BR"/>
              </w:rPr>
            </w:pPr>
            <w:r w:rsidRPr="00ED7F19">
              <w:rPr>
                <w:rFonts w:eastAsia="Times New Roman" w:cs="Calibri"/>
                <w:b/>
                <w:bCs/>
                <w:sz w:val="16"/>
                <w:szCs w:val="16"/>
                <w:lang w:eastAsia="pt-BR"/>
              </w:rPr>
              <w:t>Hoje</w:t>
            </w:r>
          </w:p>
        </w:tc>
        <w:tc>
          <w:tcPr>
            <w:tcW w:w="2816" w:type="dxa"/>
            <w:gridSpan w:val="2"/>
            <w:tcBorders>
              <w:top w:val="single" w:sz="4" w:space="0" w:color="auto"/>
              <w:left w:val="nil"/>
              <w:bottom w:val="single" w:sz="4" w:space="0" w:color="auto"/>
              <w:right w:val="single" w:sz="4" w:space="0" w:color="auto"/>
            </w:tcBorders>
            <w:shd w:val="clear" w:color="auto" w:fill="1F3864" w:themeFill="accent1" w:themeFillShade="80"/>
            <w:vAlign w:val="center"/>
            <w:hideMark/>
          </w:tcPr>
          <w:p w14:paraId="296F39A8"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Comportamento Semanal</w:t>
            </w:r>
          </w:p>
        </w:tc>
      </w:tr>
      <w:tr w:rsidR="00ED7F19" w:rsidRPr="00ED7F19" w14:paraId="4D17E1B0" w14:textId="77777777" w:rsidTr="00673AEA">
        <w:trPr>
          <w:trHeight w:val="263"/>
        </w:trPr>
        <w:tc>
          <w:tcPr>
            <w:tcW w:w="2816" w:type="dxa"/>
            <w:tcBorders>
              <w:top w:val="nil"/>
              <w:left w:val="single" w:sz="4" w:space="0" w:color="auto"/>
              <w:bottom w:val="single" w:sz="4" w:space="0" w:color="auto"/>
              <w:right w:val="single" w:sz="4" w:space="0" w:color="auto"/>
            </w:tcBorders>
            <w:shd w:val="clear" w:color="000000" w:fill="FFFFFF"/>
            <w:vAlign w:val="center"/>
            <w:hideMark/>
          </w:tcPr>
          <w:p w14:paraId="4825F8E0" w14:textId="77777777" w:rsidR="00ED7F19" w:rsidRPr="00ED7F19" w:rsidRDefault="00ED7F19" w:rsidP="00C80C8B">
            <w:pPr>
              <w:spacing w:after="0" w:line="240" w:lineRule="auto"/>
              <w:ind w:right="-568" w:firstLine="66"/>
              <w:rPr>
                <w:rFonts w:eastAsia="Times New Roman" w:cs="Calibri"/>
                <w:b/>
                <w:bCs/>
                <w:sz w:val="16"/>
                <w:szCs w:val="16"/>
                <w:lang w:eastAsia="pt-BR"/>
              </w:rPr>
            </w:pPr>
            <w:r w:rsidRPr="00ED7F19">
              <w:rPr>
                <w:rFonts w:eastAsia="Times New Roman" w:cs="Calibri"/>
                <w:b/>
                <w:bCs/>
                <w:sz w:val="16"/>
                <w:szCs w:val="16"/>
                <w:lang w:eastAsia="pt-BR"/>
              </w:rPr>
              <w:t>IPCA (variação %)</w:t>
            </w:r>
          </w:p>
        </w:tc>
        <w:tc>
          <w:tcPr>
            <w:tcW w:w="1148" w:type="dxa"/>
            <w:tcBorders>
              <w:top w:val="nil"/>
              <w:left w:val="nil"/>
              <w:bottom w:val="single" w:sz="4" w:space="0" w:color="auto"/>
              <w:right w:val="single" w:sz="4" w:space="0" w:color="auto"/>
            </w:tcBorders>
            <w:shd w:val="clear" w:color="000000" w:fill="FFFFFF"/>
            <w:vAlign w:val="center"/>
          </w:tcPr>
          <w:p w14:paraId="73C9811D" w14:textId="77777777" w:rsidR="00ED7F19" w:rsidRPr="00ED7F19" w:rsidRDefault="00ED7F19" w:rsidP="00C80C8B">
            <w:pPr>
              <w:spacing w:after="0" w:line="240" w:lineRule="auto"/>
              <w:ind w:right="-568" w:hanging="429"/>
              <w:jc w:val="center"/>
              <w:rPr>
                <w:rFonts w:eastAsia="Times New Roman" w:cs="Calibri"/>
                <w:sz w:val="16"/>
                <w:szCs w:val="16"/>
                <w:lang w:eastAsia="pt-BR"/>
              </w:rPr>
            </w:pPr>
            <w:r w:rsidRPr="00ED7F19">
              <w:rPr>
                <w:rFonts w:eastAsia="Times New Roman" w:cs="Calibri"/>
                <w:sz w:val="16"/>
                <w:szCs w:val="16"/>
                <w:lang w:eastAsia="pt-BR"/>
              </w:rPr>
              <w:t>4,92</w:t>
            </w:r>
          </w:p>
        </w:tc>
        <w:tc>
          <w:tcPr>
            <w:tcW w:w="931" w:type="dxa"/>
            <w:tcBorders>
              <w:top w:val="nil"/>
              <w:left w:val="nil"/>
              <w:bottom w:val="single" w:sz="4" w:space="0" w:color="auto"/>
              <w:right w:val="single" w:sz="4" w:space="0" w:color="auto"/>
            </w:tcBorders>
            <w:shd w:val="clear" w:color="000000" w:fill="FFFFFF"/>
            <w:vAlign w:val="center"/>
          </w:tcPr>
          <w:p w14:paraId="146B2A47" w14:textId="77777777" w:rsidR="00ED7F19" w:rsidRPr="00ED7F19" w:rsidRDefault="00ED7F19" w:rsidP="00C80C8B">
            <w:pPr>
              <w:spacing w:after="0" w:line="240" w:lineRule="auto"/>
              <w:ind w:right="-568" w:firstLine="353"/>
              <w:rPr>
                <w:rFonts w:eastAsia="Times New Roman" w:cs="Calibri"/>
                <w:sz w:val="16"/>
                <w:szCs w:val="16"/>
                <w:lang w:eastAsia="pt-BR"/>
              </w:rPr>
            </w:pPr>
            <w:r w:rsidRPr="00ED7F19">
              <w:rPr>
                <w:rFonts w:eastAsia="Times New Roman" w:cs="Calibri"/>
                <w:sz w:val="16"/>
                <w:szCs w:val="16"/>
                <w:lang w:eastAsia="pt-BR"/>
              </w:rPr>
              <w:t>4,86</w:t>
            </w:r>
          </w:p>
        </w:tc>
        <w:tc>
          <w:tcPr>
            <w:tcW w:w="1356" w:type="dxa"/>
            <w:tcBorders>
              <w:top w:val="nil"/>
              <w:left w:val="nil"/>
              <w:bottom w:val="single" w:sz="4" w:space="0" w:color="auto"/>
              <w:right w:val="single" w:sz="4" w:space="0" w:color="auto"/>
            </w:tcBorders>
            <w:shd w:val="clear" w:color="000000" w:fill="FFFFFF"/>
            <w:vAlign w:val="center"/>
          </w:tcPr>
          <w:p w14:paraId="6E419944" w14:textId="77777777" w:rsidR="00ED7F19" w:rsidRPr="00ED7F19" w:rsidRDefault="00ED7F19" w:rsidP="00C80C8B">
            <w:pPr>
              <w:spacing w:after="0" w:line="240" w:lineRule="auto"/>
              <w:ind w:right="-568" w:firstLine="414"/>
              <w:rPr>
                <w:rFonts w:eastAsia="Times New Roman" w:cs="Calibri"/>
                <w:sz w:val="16"/>
                <w:szCs w:val="16"/>
                <w:lang w:eastAsia="pt-BR"/>
              </w:rPr>
            </w:pPr>
            <w:r w:rsidRPr="00ED7F19">
              <w:rPr>
                <w:rFonts w:eastAsia="Times New Roman" w:cs="Calibri"/>
                <w:sz w:val="16"/>
                <w:szCs w:val="16"/>
                <w:lang w:eastAsia="pt-BR"/>
              </w:rPr>
              <w:t>4,86</w:t>
            </w:r>
          </w:p>
        </w:tc>
        <w:tc>
          <w:tcPr>
            <w:tcW w:w="1072" w:type="dxa"/>
            <w:tcBorders>
              <w:top w:val="nil"/>
              <w:left w:val="nil"/>
              <w:bottom w:val="single" w:sz="4" w:space="0" w:color="auto"/>
              <w:right w:val="single" w:sz="4" w:space="0" w:color="auto"/>
            </w:tcBorders>
            <w:shd w:val="clear" w:color="000000" w:fill="FFFFFF"/>
            <w:vAlign w:val="center"/>
            <w:hideMark/>
          </w:tcPr>
          <w:p w14:paraId="65A1BDBC" w14:textId="77777777" w:rsidR="00ED7F19" w:rsidRPr="00ED7F19" w:rsidRDefault="00ED7F19" w:rsidP="00C80C8B">
            <w:pPr>
              <w:spacing w:after="0" w:line="240" w:lineRule="auto"/>
              <w:ind w:right="-568" w:firstLine="480"/>
              <w:rPr>
                <w:rFonts w:eastAsia="Times New Roman" w:cs="Calibri"/>
                <w:color w:val="00B050"/>
                <w:sz w:val="16"/>
                <w:szCs w:val="16"/>
                <w:lang w:eastAsia="pt-BR"/>
              </w:rPr>
            </w:pPr>
            <w:r w:rsidRPr="00ED7F19">
              <w:rPr>
                <w:rFonts w:eastAsia="Times New Roman" w:cs="Calibri"/>
                <w:sz w:val="16"/>
                <w:szCs w:val="16"/>
                <w:lang w:eastAsia="pt-BR"/>
              </w:rPr>
              <w:t>=</w:t>
            </w:r>
          </w:p>
        </w:tc>
        <w:tc>
          <w:tcPr>
            <w:tcW w:w="1744" w:type="dxa"/>
            <w:tcBorders>
              <w:top w:val="nil"/>
              <w:left w:val="nil"/>
              <w:bottom w:val="single" w:sz="4" w:space="0" w:color="auto"/>
              <w:right w:val="single" w:sz="4" w:space="0" w:color="auto"/>
            </w:tcBorders>
            <w:shd w:val="clear" w:color="000000" w:fill="FFFFFF"/>
            <w:vAlign w:val="center"/>
            <w:hideMark/>
          </w:tcPr>
          <w:p w14:paraId="08F8D534" w14:textId="77777777" w:rsidR="00ED7F19" w:rsidRPr="00ED7F19" w:rsidRDefault="00ED7F19" w:rsidP="00C80C8B">
            <w:pPr>
              <w:spacing w:after="0" w:line="240" w:lineRule="auto"/>
              <w:ind w:right="-568" w:firstLine="259"/>
              <w:rPr>
                <w:rFonts w:eastAsia="Times New Roman" w:cs="Calibri"/>
                <w:sz w:val="16"/>
                <w:szCs w:val="16"/>
                <w:lang w:eastAsia="pt-BR"/>
              </w:rPr>
            </w:pPr>
            <w:r w:rsidRPr="00ED7F19">
              <w:rPr>
                <w:rFonts w:eastAsia="Times New Roman" w:cs="Calibri"/>
                <w:sz w:val="16"/>
                <w:szCs w:val="16"/>
                <w:lang w:eastAsia="pt-BR"/>
              </w:rPr>
              <w:t>(2)</w:t>
            </w:r>
          </w:p>
        </w:tc>
      </w:tr>
      <w:tr w:rsidR="00ED7F19" w:rsidRPr="00ED7F19" w14:paraId="5EB972BB" w14:textId="77777777" w:rsidTr="00673AEA">
        <w:trPr>
          <w:trHeight w:val="263"/>
        </w:trPr>
        <w:tc>
          <w:tcPr>
            <w:tcW w:w="2816" w:type="dxa"/>
            <w:tcBorders>
              <w:top w:val="nil"/>
              <w:left w:val="single" w:sz="4" w:space="0" w:color="auto"/>
              <w:bottom w:val="single" w:sz="4" w:space="0" w:color="auto"/>
              <w:right w:val="single" w:sz="4" w:space="0" w:color="auto"/>
            </w:tcBorders>
            <w:shd w:val="clear" w:color="000000" w:fill="FFFFFF"/>
            <w:vAlign w:val="center"/>
            <w:hideMark/>
          </w:tcPr>
          <w:p w14:paraId="283A06D0" w14:textId="77777777" w:rsidR="00ED7F19" w:rsidRPr="00ED7F19" w:rsidRDefault="00ED7F19" w:rsidP="00C80C8B">
            <w:pPr>
              <w:spacing w:after="0" w:line="240" w:lineRule="auto"/>
              <w:ind w:right="-568" w:firstLine="66"/>
              <w:rPr>
                <w:rFonts w:eastAsia="Times New Roman" w:cs="Calibri"/>
                <w:b/>
                <w:bCs/>
                <w:sz w:val="16"/>
                <w:szCs w:val="16"/>
                <w:lang w:eastAsia="pt-BR"/>
              </w:rPr>
            </w:pPr>
            <w:r w:rsidRPr="00ED7F19">
              <w:rPr>
                <w:rFonts w:eastAsia="Times New Roman" w:cs="Calibri"/>
                <w:b/>
                <w:bCs/>
                <w:sz w:val="16"/>
                <w:szCs w:val="16"/>
                <w:lang w:eastAsia="pt-BR"/>
              </w:rPr>
              <w:t>PIB (variação % sobre o ano anterior)</w:t>
            </w:r>
          </w:p>
        </w:tc>
        <w:tc>
          <w:tcPr>
            <w:tcW w:w="1148" w:type="dxa"/>
            <w:tcBorders>
              <w:top w:val="nil"/>
              <w:left w:val="nil"/>
              <w:bottom w:val="single" w:sz="4" w:space="0" w:color="auto"/>
              <w:right w:val="single" w:sz="4" w:space="0" w:color="auto"/>
            </w:tcBorders>
            <w:shd w:val="clear" w:color="000000" w:fill="FFFFFF"/>
            <w:vAlign w:val="center"/>
          </w:tcPr>
          <w:p w14:paraId="5524264A" w14:textId="77777777" w:rsidR="00ED7F19" w:rsidRPr="00ED7F19" w:rsidRDefault="00ED7F19" w:rsidP="00C80C8B">
            <w:pPr>
              <w:spacing w:after="0" w:line="240" w:lineRule="auto"/>
              <w:ind w:right="-568" w:hanging="429"/>
              <w:jc w:val="center"/>
              <w:rPr>
                <w:rFonts w:eastAsia="Times New Roman" w:cs="Calibri"/>
                <w:sz w:val="16"/>
                <w:szCs w:val="16"/>
                <w:lang w:eastAsia="pt-BR"/>
              </w:rPr>
            </w:pPr>
            <w:r w:rsidRPr="00ED7F19">
              <w:rPr>
                <w:rFonts w:eastAsia="Times New Roman" w:cs="Calibri"/>
                <w:sz w:val="16"/>
                <w:szCs w:val="16"/>
                <w:lang w:eastAsia="pt-BR"/>
              </w:rPr>
              <w:t>2,56</w:t>
            </w:r>
          </w:p>
        </w:tc>
        <w:tc>
          <w:tcPr>
            <w:tcW w:w="931" w:type="dxa"/>
            <w:tcBorders>
              <w:top w:val="nil"/>
              <w:left w:val="nil"/>
              <w:bottom w:val="single" w:sz="4" w:space="0" w:color="auto"/>
              <w:right w:val="single" w:sz="4" w:space="0" w:color="auto"/>
            </w:tcBorders>
            <w:shd w:val="clear" w:color="000000" w:fill="FFFFFF"/>
            <w:vAlign w:val="center"/>
          </w:tcPr>
          <w:p w14:paraId="66DDBEB8" w14:textId="77777777" w:rsidR="00ED7F19" w:rsidRPr="00ED7F19" w:rsidRDefault="00ED7F19" w:rsidP="00C80C8B">
            <w:pPr>
              <w:spacing w:after="0" w:line="240" w:lineRule="auto"/>
              <w:ind w:right="-568" w:firstLine="353"/>
              <w:rPr>
                <w:rFonts w:eastAsia="Times New Roman" w:cs="Calibri"/>
                <w:sz w:val="16"/>
                <w:szCs w:val="16"/>
                <w:lang w:eastAsia="pt-BR"/>
              </w:rPr>
            </w:pPr>
            <w:r w:rsidRPr="00ED7F19">
              <w:rPr>
                <w:rFonts w:eastAsia="Times New Roman" w:cs="Calibri"/>
                <w:sz w:val="16"/>
                <w:szCs w:val="16"/>
                <w:lang w:eastAsia="pt-BR"/>
              </w:rPr>
              <w:t>2,92</w:t>
            </w:r>
          </w:p>
        </w:tc>
        <w:tc>
          <w:tcPr>
            <w:tcW w:w="1356" w:type="dxa"/>
            <w:tcBorders>
              <w:top w:val="nil"/>
              <w:left w:val="nil"/>
              <w:bottom w:val="single" w:sz="4" w:space="0" w:color="auto"/>
              <w:right w:val="single" w:sz="4" w:space="0" w:color="auto"/>
            </w:tcBorders>
            <w:shd w:val="clear" w:color="000000" w:fill="FFFFFF"/>
            <w:vAlign w:val="center"/>
          </w:tcPr>
          <w:p w14:paraId="63EA90E1" w14:textId="77777777" w:rsidR="00ED7F19" w:rsidRPr="00ED7F19" w:rsidRDefault="00ED7F19" w:rsidP="00C80C8B">
            <w:pPr>
              <w:spacing w:after="0" w:line="240" w:lineRule="auto"/>
              <w:ind w:right="-568" w:firstLine="414"/>
              <w:rPr>
                <w:rFonts w:eastAsia="Times New Roman" w:cs="Calibri"/>
                <w:sz w:val="16"/>
                <w:szCs w:val="16"/>
                <w:lang w:eastAsia="pt-BR"/>
              </w:rPr>
            </w:pPr>
            <w:r w:rsidRPr="00ED7F19">
              <w:rPr>
                <w:rFonts w:eastAsia="Times New Roman" w:cs="Calibri"/>
                <w:sz w:val="16"/>
                <w:szCs w:val="16"/>
                <w:lang w:eastAsia="pt-BR"/>
              </w:rPr>
              <w:t>2,92</w:t>
            </w:r>
          </w:p>
        </w:tc>
        <w:tc>
          <w:tcPr>
            <w:tcW w:w="1072" w:type="dxa"/>
            <w:tcBorders>
              <w:top w:val="nil"/>
              <w:left w:val="nil"/>
              <w:bottom w:val="single" w:sz="4" w:space="0" w:color="auto"/>
              <w:right w:val="single" w:sz="4" w:space="0" w:color="auto"/>
            </w:tcBorders>
            <w:shd w:val="clear" w:color="000000" w:fill="FFFFFF"/>
            <w:vAlign w:val="center"/>
            <w:hideMark/>
          </w:tcPr>
          <w:p w14:paraId="38C4E121" w14:textId="77777777" w:rsidR="00ED7F19" w:rsidRPr="00ED7F19" w:rsidRDefault="00ED7F19" w:rsidP="00C80C8B">
            <w:pPr>
              <w:spacing w:after="0" w:line="240" w:lineRule="auto"/>
              <w:ind w:right="-568" w:firstLine="480"/>
              <w:rPr>
                <w:rFonts w:eastAsia="Times New Roman" w:cs="Calibri"/>
                <w:color w:val="00B050"/>
                <w:sz w:val="16"/>
                <w:szCs w:val="16"/>
                <w:lang w:eastAsia="pt-BR"/>
              </w:rPr>
            </w:pPr>
            <w:r w:rsidRPr="00ED7F19">
              <w:rPr>
                <w:rFonts w:eastAsia="Times New Roman" w:cs="Calibri"/>
                <w:sz w:val="16"/>
                <w:szCs w:val="16"/>
                <w:lang w:eastAsia="pt-BR"/>
              </w:rPr>
              <w:t>=</w:t>
            </w:r>
          </w:p>
        </w:tc>
        <w:tc>
          <w:tcPr>
            <w:tcW w:w="1744" w:type="dxa"/>
            <w:tcBorders>
              <w:top w:val="nil"/>
              <w:left w:val="nil"/>
              <w:bottom w:val="single" w:sz="4" w:space="0" w:color="auto"/>
              <w:right w:val="single" w:sz="4" w:space="0" w:color="auto"/>
            </w:tcBorders>
            <w:shd w:val="clear" w:color="000000" w:fill="FFFFFF"/>
            <w:vAlign w:val="center"/>
            <w:hideMark/>
          </w:tcPr>
          <w:p w14:paraId="73FD7D36" w14:textId="77777777" w:rsidR="00ED7F19" w:rsidRPr="00ED7F19" w:rsidRDefault="00ED7F19" w:rsidP="00C80C8B">
            <w:pPr>
              <w:spacing w:after="0" w:line="240" w:lineRule="auto"/>
              <w:ind w:right="-568" w:firstLine="259"/>
              <w:rPr>
                <w:rFonts w:eastAsia="Times New Roman" w:cs="Calibri"/>
                <w:sz w:val="16"/>
                <w:szCs w:val="16"/>
                <w:lang w:eastAsia="pt-BR"/>
              </w:rPr>
            </w:pPr>
            <w:r w:rsidRPr="00ED7F19">
              <w:rPr>
                <w:rFonts w:eastAsia="Times New Roman" w:cs="Calibri"/>
                <w:sz w:val="16"/>
                <w:szCs w:val="16"/>
                <w:lang w:eastAsia="pt-BR"/>
              </w:rPr>
              <w:t>(1)</w:t>
            </w:r>
          </w:p>
        </w:tc>
      </w:tr>
      <w:tr w:rsidR="00ED7F19" w:rsidRPr="00ED7F19" w14:paraId="447D2F1D" w14:textId="77777777" w:rsidTr="00673AEA">
        <w:trPr>
          <w:trHeight w:val="263"/>
        </w:trPr>
        <w:tc>
          <w:tcPr>
            <w:tcW w:w="2816" w:type="dxa"/>
            <w:tcBorders>
              <w:top w:val="nil"/>
              <w:left w:val="single" w:sz="4" w:space="0" w:color="auto"/>
              <w:bottom w:val="single" w:sz="4" w:space="0" w:color="auto"/>
              <w:right w:val="single" w:sz="4" w:space="0" w:color="auto"/>
            </w:tcBorders>
            <w:shd w:val="clear" w:color="000000" w:fill="FFFFFF"/>
            <w:vAlign w:val="center"/>
            <w:hideMark/>
          </w:tcPr>
          <w:p w14:paraId="0B73625A" w14:textId="77777777" w:rsidR="00ED7F19" w:rsidRPr="00ED7F19" w:rsidRDefault="00ED7F19" w:rsidP="00C80C8B">
            <w:pPr>
              <w:spacing w:after="0" w:line="240" w:lineRule="auto"/>
              <w:ind w:right="-568" w:firstLine="66"/>
              <w:rPr>
                <w:rFonts w:eastAsia="Times New Roman" w:cs="Calibri"/>
                <w:b/>
                <w:bCs/>
                <w:sz w:val="16"/>
                <w:szCs w:val="16"/>
                <w:lang w:eastAsia="pt-BR"/>
              </w:rPr>
            </w:pPr>
            <w:r w:rsidRPr="00ED7F19">
              <w:rPr>
                <w:rFonts w:eastAsia="Times New Roman" w:cs="Calibri"/>
                <w:b/>
                <w:bCs/>
                <w:sz w:val="16"/>
                <w:szCs w:val="16"/>
                <w:lang w:eastAsia="pt-BR"/>
              </w:rPr>
              <w:t>Câmbio (R$/US$)</w:t>
            </w:r>
          </w:p>
        </w:tc>
        <w:tc>
          <w:tcPr>
            <w:tcW w:w="1148" w:type="dxa"/>
            <w:tcBorders>
              <w:top w:val="nil"/>
              <w:left w:val="nil"/>
              <w:bottom w:val="single" w:sz="4" w:space="0" w:color="auto"/>
              <w:right w:val="single" w:sz="4" w:space="0" w:color="auto"/>
            </w:tcBorders>
            <w:shd w:val="clear" w:color="000000" w:fill="FFFFFF"/>
            <w:vAlign w:val="center"/>
          </w:tcPr>
          <w:p w14:paraId="6490D82E" w14:textId="77777777" w:rsidR="00ED7F19" w:rsidRPr="00ED7F19" w:rsidRDefault="00ED7F19" w:rsidP="00C80C8B">
            <w:pPr>
              <w:spacing w:after="0" w:line="240" w:lineRule="auto"/>
              <w:ind w:right="-568" w:hanging="429"/>
              <w:jc w:val="center"/>
              <w:rPr>
                <w:rFonts w:eastAsia="Times New Roman" w:cs="Calibri"/>
                <w:sz w:val="16"/>
                <w:szCs w:val="16"/>
                <w:lang w:eastAsia="pt-BR"/>
              </w:rPr>
            </w:pPr>
            <w:r w:rsidRPr="00ED7F19">
              <w:rPr>
                <w:rFonts w:eastAsia="Times New Roman" w:cs="Calibri"/>
                <w:sz w:val="16"/>
                <w:szCs w:val="16"/>
                <w:lang w:eastAsia="pt-BR"/>
              </w:rPr>
              <w:t>4,98</w:t>
            </w:r>
          </w:p>
        </w:tc>
        <w:tc>
          <w:tcPr>
            <w:tcW w:w="931" w:type="dxa"/>
            <w:tcBorders>
              <w:top w:val="nil"/>
              <w:left w:val="nil"/>
              <w:bottom w:val="single" w:sz="4" w:space="0" w:color="auto"/>
              <w:right w:val="single" w:sz="4" w:space="0" w:color="auto"/>
            </w:tcBorders>
            <w:shd w:val="clear" w:color="000000" w:fill="FFFFFF"/>
            <w:vAlign w:val="center"/>
          </w:tcPr>
          <w:p w14:paraId="23C25379" w14:textId="77777777" w:rsidR="00ED7F19" w:rsidRPr="00ED7F19" w:rsidRDefault="00ED7F19" w:rsidP="00C80C8B">
            <w:pPr>
              <w:spacing w:after="0" w:line="240" w:lineRule="auto"/>
              <w:ind w:right="-568" w:firstLine="353"/>
              <w:rPr>
                <w:rFonts w:eastAsia="Times New Roman" w:cs="Calibri"/>
                <w:sz w:val="16"/>
                <w:szCs w:val="16"/>
                <w:lang w:eastAsia="pt-BR"/>
              </w:rPr>
            </w:pPr>
            <w:r w:rsidRPr="00ED7F19">
              <w:rPr>
                <w:rFonts w:eastAsia="Times New Roman" w:cs="Calibri"/>
                <w:sz w:val="16"/>
                <w:szCs w:val="16"/>
                <w:lang w:eastAsia="pt-BR"/>
              </w:rPr>
              <w:t>4,95</w:t>
            </w:r>
          </w:p>
        </w:tc>
        <w:tc>
          <w:tcPr>
            <w:tcW w:w="1356" w:type="dxa"/>
            <w:tcBorders>
              <w:top w:val="nil"/>
              <w:left w:val="nil"/>
              <w:bottom w:val="single" w:sz="4" w:space="0" w:color="auto"/>
              <w:right w:val="single" w:sz="4" w:space="0" w:color="auto"/>
            </w:tcBorders>
            <w:shd w:val="clear" w:color="000000" w:fill="FFFFFF"/>
            <w:vAlign w:val="center"/>
          </w:tcPr>
          <w:p w14:paraId="71091EF9" w14:textId="77777777" w:rsidR="00ED7F19" w:rsidRPr="00ED7F19" w:rsidRDefault="00ED7F19" w:rsidP="00C80C8B">
            <w:pPr>
              <w:spacing w:after="0" w:line="240" w:lineRule="auto"/>
              <w:ind w:right="-568" w:firstLine="414"/>
              <w:rPr>
                <w:rFonts w:eastAsia="Times New Roman" w:cs="Calibri"/>
                <w:sz w:val="16"/>
                <w:szCs w:val="16"/>
                <w:lang w:eastAsia="pt-BR"/>
              </w:rPr>
            </w:pPr>
            <w:r w:rsidRPr="00ED7F19">
              <w:rPr>
                <w:rFonts w:eastAsia="Times New Roman" w:cs="Calibri"/>
                <w:sz w:val="16"/>
                <w:szCs w:val="16"/>
                <w:lang w:eastAsia="pt-BR"/>
              </w:rPr>
              <w:t>4,95</w:t>
            </w:r>
          </w:p>
        </w:tc>
        <w:tc>
          <w:tcPr>
            <w:tcW w:w="1072" w:type="dxa"/>
            <w:tcBorders>
              <w:top w:val="nil"/>
              <w:left w:val="nil"/>
              <w:bottom w:val="single" w:sz="4" w:space="0" w:color="auto"/>
              <w:right w:val="single" w:sz="4" w:space="0" w:color="auto"/>
            </w:tcBorders>
            <w:shd w:val="clear" w:color="000000" w:fill="FFFFFF"/>
            <w:vAlign w:val="center"/>
            <w:hideMark/>
          </w:tcPr>
          <w:p w14:paraId="05F62461" w14:textId="77777777" w:rsidR="00ED7F19" w:rsidRPr="00ED7F19" w:rsidRDefault="00ED7F19" w:rsidP="00C80C8B">
            <w:pPr>
              <w:spacing w:after="0" w:line="240" w:lineRule="auto"/>
              <w:ind w:right="-568" w:firstLine="480"/>
              <w:rPr>
                <w:rFonts w:eastAsia="Times New Roman" w:cs="Calibri"/>
                <w:color w:val="00B050"/>
                <w:sz w:val="16"/>
                <w:szCs w:val="16"/>
                <w:lang w:eastAsia="pt-BR"/>
              </w:rPr>
            </w:pPr>
            <w:r w:rsidRPr="00ED7F19">
              <w:rPr>
                <w:rFonts w:eastAsia="Times New Roman" w:cs="Calibri"/>
                <w:sz w:val="16"/>
                <w:szCs w:val="16"/>
                <w:lang w:eastAsia="pt-BR"/>
              </w:rPr>
              <w:t>=</w:t>
            </w:r>
          </w:p>
        </w:tc>
        <w:tc>
          <w:tcPr>
            <w:tcW w:w="1744" w:type="dxa"/>
            <w:tcBorders>
              <w:top w:val="nil"/>
              <w:left w:val="nil"/>
              <w:bottom w:val="single" w:sz="4" w:space="0" w:color="auto"/>
              <w:right w:val="single" w:sz="4" w:space="0" w:color="auto"/>
            </w:tcBorders>
            <w:shd w:val="clear" w:color="000000" w:fill="FFFFFF"/>
            <w:vAlign w:val="center"/>
            <w:hideMark/>
          </w:tcPr>
          <w:p w14:paraId="4EDE62B2" w14:textId="77777777" w:rsidR="00ED7F19" w:rsidRPr="00ED7F19" w:rsidRDefault="00ED7F19" w:rsidP="00C80C8B">
            <w:pPr>
              <w:spacing w:after="0" w:line="240" w:lineRule="auto"/>
              <w:ind w:right="-568" w:firstLine="259"/>
              <w:rPr>
                <w:rFonts w:eastAsia="Times New Roman" w:cs="Calibri"/>
                <w:sz w:val="16"/>
                <w:szCs w:val="16"/>
                <w:lang w:eastAsia="pt-BR"/>
              </w:rPr>
            </w:pPr>
            <w:r w:rsidRPr="00ED7F19">
              <w:rPr>
                <w:rFonts w:eastAsia="Times New Roman" w:cs="Calibri"/>
                <w:sz w:val="16"/>
                <w:szCs w:val="16"/>
                <w:lang w:eastAsia="pt-BR"/>
              </w:rPr>
              <w:t>(2)</w:t>
            </w:r>
          </w:p>
        </w:tc>
      </w:tr>
      <w:tr w:rsidR="00ED7F19" w:rsidRPr="00ED7F19" w14:paraId="2BAC5EFF" w14:textId="77777777" w:rsidTr="00673AEA">
        <w:trPr>
          <w:trHeight w:val="263"/>
        </w:trPr>
        <w:tc>
          <w:tcPr>
            <w:tcW w:w="2816" w:type="dxa"/>
            <w:tcBorders>
              <w:top w:val="nil"/>
              <w:left w:val="single" w:sz="4" w:space="0" w:color="auto"/>
              <w:bottom w:val="single" w:sz="4" w:space="0" w:color="auto"/>
              <w:right w:val="single" w:sz="4" w:space="0" w:color="auto"/>
            </w:tcBorders>
            <w:shd w:val="clear" w:color="000000" w:fill="FFFFFF"/>
            <w:vAlign w:val="center"/>
            <w:hideMark/>
          </w:tcPr>
          <w:p w14:paraId="11854D52" w14:textId="77777777" w:rsidR="00ED7F19" w:rsidRPr="00ED7F19" w:rsidRDefault="00ED7F19" w:rsidP="00C80C8B">
            <w:pPr>
              <w:spacing w:after="0" w:line="240" w:lineRule="auto"/>
              <w:ind w:right="-568" w:firstLine="66"/>
              <w:rPr>
                <w:rFonts w:eastAsia="Times New Roman" w:cs="Calibri"/>
                <w:b/>
                <w:bCs/>
                <w:sz w:val="16"/>
                <w:szCs w:val="16"/>
                <w:lang w:eastAsia="pt-BR"/>
              </w:rPr>
            </w:pPr>
            <w:r w:rsidRPr="00ED7F19">
              <w:rPr>
                <w:rFonts w:eastAsia="Times New Roman" w:cs="Calibri"/>
                <w:b/>
                <w:bCs/>
                <w:sz w:val="16"/>
                <w:szCs w:val="16"/>
                <w:lang w:eastAsia="pt-BR"/>
              </w:rPr>
              <w:t>Selic (% a.a)</w:t>
            </w:r>
          </w:p>
        </w:tc>
        <w:tc>
          <w:tcPr>
            <w:tcW w:w="1148" w:type="dxa"/>
            <w:tcBorders>
              <w:top w:val="nil"/>
              <w:left w:val="nil"/>
              <w:bottom w:val="single" w:sz="4" w:space="0" w:color="auto"/>
              <w:right w:val="single" w:sz="4" w:space="0" w:color="auto"/>
            </w:tcBorders>
            <w:shd w:val="clear" w:color="000000" w:fill="FFFFFF"/>
            <w:vAlign w:val="center"/>
          </w:tcPr>
          <w:p w14:paraId="41F3F7D7" w14:textId="77777777" w:rsidR="00ED7F19" w:rsidRPr="00ED7F19" w:rsidRDefault="00ED7F19" w:rsidP="00C80C8B">
            <w:pPr>
              <w:spacing w:after="0" w:line="240" w:lineRule="auto"/>
              <w:ind w:right="-568" w:hanging="429"/>
              <w:jc w:val="center"/>
              <w:rPr>
                <w:rFonts w:eastAsia="Times New Roman" w:cs="Calibri"/>
                <w:sz w:val="16"/>
                <w:szCs w:val="16"/>
                <w:lang w:eastAsia="pt-BR"/>
              </w:rPr>
            </w:pPr>
            <w:r w:rsidRPr="00ED7F19">
              <w:rPr>
                <w:rFonts w:eastAsia="Times New Roman" w:cs="Calibri"/>
                <w:sz w:val="16"/>
                <w:szCs w:val="16"/>
                <w:lang w:eastAsia="pt-BR"/>
              </w:rPr>
              <w:t>11,75</w:t>
            </w:r>
          </w:p>
        </w:tc>
        <w:tc>
          <w:tcPr>
            <w:tcW w:w="931" w:type="dxa"/>
            <w:tcBorders>
              <w:top w:val="nil"/>
              <w:left w:val="nil"/>
              <w:bottom w:val="single" w:sz="4" w:space="0" w:color="auto"/>
              <w:right w:val="single" w:sz="4" w:space="0" w:color="auto"/>
            </w:tcBorders>
            <w:shd w:val="clear" w:color="000000" w:fill="FFFFFF"/>
            <w:vAlign w:val="center"/>
          </w:tcPr>
          <w:p w14:paraId="4777BDA9" w14:textId="77777777" w:rsidR="00ED7F19" w:rsidRPr="00ED7F19" w:rsidRDefault="00ED7F19" w:rsidP="00C80C8B">
            <w:pPr>
              <w:spacing w:after="0" w:line="240" w:lineRule="auto"/>
              <w:ind w:right="-568" w:firstLine="353"/>
              <w:rPr>
                <w:rFonts w:eastAsia="Times New Roman" w:cs="Calibri"/>
                <w:sz w:val="16"/>
                <w:szCs w:val="16"/>
                <w:lang w:eastAsia="pt-BR"/>
              </w:rPr>
            </w:pPr>
            <w:r w:rsidRPr="00ED7F19">
              <w:rPr>
                <w:rFonts w:eastAsia="Times New Roman" w:cs="Calibri"/>
                <w:sz w:val="16"/>
                <w:szCs w:val="16"/>
                <w:lang w:eastAsia="pt-BR"/>
              </w:rPr>
              <w:t>11,75</w:t>
            </w:r>
          </w:p>
        </w:tc>
        <w:tc>
          <w:tcPr>
            <w:tcW w:w="1356" w:type="dxa"/>
            <w:tcBorders>
              <w:top w:val="nil"/>
              <w:left w:val="nil"/>
              <w:bottom w:val="single" w:sz="4" w:space="0" w:color="auto"/>
              <w:right w:val="single" w:sz="4" w:space="0" w:color="auto"/>
            </w:tcBorders>
            <w:shd w:val="clear" w:color="000000" w:fill="FFFFFF"/>
            <w:vAlign w:val="center"/>
          </w:tcPr>
          <w:p w14:paraId="57B3CBF8" w14:textId="77777777" w:rsidR="00ED7F19" w:rsidRPr="00ED7F19" w:rsidRDefault="00ED7F19" w:rsidP="00C80C8B">
            <w:pPr>
              <w:spacing w:after="0" w:line="240" w:lineRule="auto"/>
              <w:ind w:right="-568" w:firstLine="414"/>
              <w:rPr>
                <w:rFonts w:eastAsia="Times New Roman" w:cs="Calibri"/>
                <w:sz w:val="16"/>
                <w:szCs w:val="16"/>
                <w:lang w:eastAsia="pt-BR"/>
              </w:rPr>
            </w:pPr>
            <w:r w:rsidRPr="00ED7F19">
              <w:rPr>
                <w:rFonts w:eastAsia="Times New Roman" w:cs="Calibri"/>
                <w:sz w:val="16"/>
                <w:szCs w:val="16"/>
                <w:lang w:eastAsia="pt-BR"/>
              </w:rPr>
              <w:t>11,75</w:t>
            </w:r>
          </w:p>
        </w:tc>
        <w:tc>
          <w:tcPr>
            <w:tcW w:w="1072" w:type="dxa"/>
            <w:tcBorders>
              <w:top w:val="nil"/>
              <w:left w:val="nil"/>
              <w:bottom w:val="single" w:sz="4" w:space="0" w:color="auto"/>
              <w:right w:val="single" w:sz="4" w:space="0" w:color="auto"/>
            </w:tcBorders>
            <w:shd w:val="clear" w:color="000000" w:fill="FFFFFF"/>
            <w:vAlign w:val="center"/>
            <w:hideMark/>
          </w:tcPr>
          <w:p w14:paraId="27A4BF30" w14:textId="77777777" w:rsidR="00ED7F19" w:rsidRPr="00ED7F19" w:rsidRDefault="00ED7F19" w:rsidP="00C80C8B">
            <w:pPr>
              <w:spacing w:after="0" w:line="240" w:lineRule="auto"/>
              <w:ind w:right="-568" w:firstLine="480"/>
              <w:rPr>
                <w:rFonts w:eastAsia="Times New Roman" w:cs="Calibri"/>
                <w:color w:val="00B050"/>
                <w:sz w:val="16"/>
                <w:szCs w:val="16"/>
                <w:lang w:eastAsia="pt-BR"/>
              </w:rPr>
            </w:pPr>
            <w:r w:rsidRPr="00ED7F19">
              <w:rPr>
                <w:rFonts w:eastAsia="Times New Roman" w:cs="Calibri"/>
                <w:sz w:val="16"/>
                <w:szCs w:val="16"/>
                <w:lang w:eastAsia="pt-BR"/>
              </w:rPr>
              <w:t>=</w:t>
            </w:r>
          </w:p>
        </w:tc>
        <w:tc>
          <w:tcPr>
            <w:tcW w:w="1744" w:type="dxa"/>
            <w:tcBorders>
              <w:top w:val="nil"/>
              <w:left w:val="nil"/>
              <w:bottom w:val="single" w:sz="4" w:space="0" w:color="auto"/>
              <w:right w:val="single" w:sz="4" w:space="0" w:color="auto"/>
            </w:tcBorders>
            <w:shd w:val="clear" w:color="000000" w:fill="FFFFFF"/>
            <w:vAlign w:val="center"/>
            <w:hideMark/>
          </w:tcPr>
          <w:p w14:paraId="764762F6" w14:textId="77777777" w:rsidR="00ED7F19" w:rsidRPr="00ED7F19" w:rsidRDefault="00ED7F19" w:rsidP="00C80C8B">
            <w:pPr>
              <w:spacing w:after="0" w:line="240" w:lineRule="auto"/>
              <w:ind w:right="-568" w:firstLine="259"/>
              <w:rPr>
                <w:rFonts w:eastAsia="Times New Roman" w:cs="Calibri"/>
                <w:sz w:val="16"/>
                <w:szCs w:val="16"/>
                <w:lang w:eastAsia="pt-BR"/>
              </w:rPr>
            </w:pPr>
            <w:r w:rsidRPr="00ED7F19">
              <w:rPr>
                <w:rFonts w:eastAsia="Times New Roman" w:cs="Calibri"/>
                <w:sz w:val="16"/>
                <w:szCs w:val="16"/>
                <w:lang w:eastAsia="pt-BR"/>
              </w:rPr>
              <w:t>(8)</w:t>
            </w:r>
          </w:p>
        </w:tc>
      </w:tr>
      <w:tr w:rsidR="00ED7F19" w:rsidRPr="00ED7F19" w14:paraId="21FB3BC3" w14:textId="77777777" w:rsidTr="00673AEA">
        <w:trPr>
          <w:trHeight w:val="263"/>
        </w:trPr>
        <w:tc>
          <w:tcPr>
            <w:tcW w:w="2816" w:type="dxa"/>
            <w:tcBorders>
              <w:top w:val="nil"/>
              <w:left w:val="single" w:sz="4" w:space="0" w:color="auto"/>
              <w:bottom w:val="single" w:sz="4" w:space="0" w:color="auto"/>
              <w:right w:val="single" w:sz="4" w:space="0" w:color="auto"/>
            </w:tcBorders>
            <w:shd w:val="clear" w:color="000000" w:fill="FFFFFF"/>
            <w:vAlign w:val="center"/>
            <w:hideMark/>
          </w:tcPr>
          <w:p w14:paraId="0EC51835" w14:textId="77777777" w:rsidR="00ED7F19" w:rsidRPr="00ED7F19" w:rsidRDefault="00ED7F19" w:rsidP="00C80C8B">
            <w:pPr>
              <w:spacing w:after="0" w:line="240" w:lineRule="auto"/>
              <w:ind w:right="-568" w:firstLine="66"/>
              <w:rPr>
                <w:rFonts w:eastAsia="Times New Roman" w:cs="Calibri"/>
                <w:b/>
                <w:bCs/>
                <w:sz w:val="16"/>
                <w:szCs w:val="16"/>
                <w:lang w:eastAsia="pt-BR"/>
              </w:rPr>
            </w:pPr>
            <w:r w:rsidRPr="00ED7F19">
              <w:rPr>
                <w:rFonts w:eastAsia="Times New Roman" w:cs="Calibri"/>
                <w:b/>
                <w:bCs/>
                <w:sz w:val="16"/>
                <w:szCs w:val="16"/>
                <w:lang w:eastAsia="pt-BR"/>
              </w:rPr>
              <w:t>IGP-M (variação %)</w:t>
            </w:r>
          </w:p>
        </w:tc>
        <w:tc>
          <w:tcPr>
            <w:tcW w:w="1148" w:type="dxa"/>
            <w:tcBorders>
              <w:top w:val="nil"/>
              <w:left w:val="nil"/>
              <w:bottom w:val="single" w:sz="4" w:space="0" w:color="auto"/>
              <w:right w:val="single" w:sz="4" w:space="0" w:color="auto"/>
            </w:tcBorders>
            <w:shd w:val="clear" w:color="000000" w:fill="FFFFFF"/>
            <w:vAlign w:val="center"/>
          </w:tcPr>
          <w:p w14:paraId="3A3E6C3E" w14:textId="77777777" w:rsidR="00ED7F19" w:rsidRPr="00ED7F19" w:rsidRDefault="00ED7F19" w:rsidP="00C80C8B">
            <w:pPr>
              <w:spacing w:after="0" w:line="240" w:lineRule="auto"/>
              <w:ind w:right="-568" w:hanging="429"/>
              <w:jc w:val="center"/>
              <w:rPr>
                <w:rFonts w:eastAsia="Times New Roman" w:cs="Calibri"/>
                <w:sz w:val="16"/>
                <w:szCs w:val="16"/>
                <w:lang w:eastAsia="pt-BR"/>
              </w:rPr>
            </w:pPr>
            <w:r w:rsidRPr="00ED7F19">
              <w:rPr>
                <w:rFonts w:eastAsia="Times New Roman" w:cs="Calibri"/>
                <w:sz w:val="16"/>
                <w:szCs w:val="16"/>
                <w:lang w:eastAsia="pt-BR"/>
              </w:rPr>
              <w:t>-3,56</w:t>
            </w:r>
          </w:p>
        </w:tc>
        <w:tc>
          <w:tcPr>
            <w:tcW w:w="931" w:type="dxa"/>
            <w:tcBorders>
              <w:top w:val="nil"/>
              <w:left w:val="nil"/>
              <w:bottom w:val="single" w:sz="4" w:space="0" w:color="auto"/>
              <w:right w:val="single" w:sz="4" w:space="0" w:color="auto"/>
            </w:tcBorders>
            <w:shd w:val="clear" w:color="000000" w:fill="FFFFFF"/>
            <w:vAlign w:val="center"/>
          </w:tcPr>
          <w:p w14:paraId="07CB48D7" w14:textId="77777777" w:rsidR="00ED7F19" w:rsidRPr="00ED7F19" w:rsidRDefault="00ED7F19" w:rsidP="00C80C8B">
            <w:pPr>
              <w:spacing w:after="0" w:line="240" w:lineRule="auto"/>
              <w:ind w:right="-568" w:firstLine="353"/>
              <w:rPr>
                <w:rFonts w:eastAsia="Times New Roman" w:cs="Calibri"/>
                <w:sz w:val="16"/>
                <w:szCs w:val="16"/>
                <w:lang w:eastAsia="pt-BR"/>
              </w:rPr>
            </w:pPr>
            <w:r w:rsidRPr="00ED7F19">
              <w:rPr>
                <w:rFonts w:eastAsia="Times New Roman" w:cs="Calibri"/>
                <w:sz w:val="16"/>
                <w:szCs w:val="16"/>
                <w:lang w:eastAsia="pt-BR"/>
              </w:rPr>
              <w:t>-3,75</w:t>
            </w:r>
          </w:p>
        </w:tc>
        <w:tc>
          <w:tcPr>
            <w:tcW w:w="1356" w:type="dxa"/>
            <w:tcBorders>
              <w:top w:val="nil"/>
              <w:left w:val="nil"/>
              <w:bottom w:val="single" w:sz="4" w:space="0" w:color="auto"/>
              <w:right w:val="single" w:sz="4" w:space="0" w:color="auto"/>
            </w:tcBorders>
            <w:shd w:val="clear" w:color="000000" w:fill="FFFFFF"/>
            <w:vAlign w:val="center"/>
          </w:tcPr>
          <w:p w14:paraId="1CB60A11" w14:textId="77777777" w:rsidR="00ED7F19" w:rsidRPr="00ED7F19" w:rsidRDefault="00ED7F19" w:rsidP="00C80C8B">
            <w:pPr>
              <w:spacing w:after="0" w:line="240" w:lineRule="auto"/>
              <w:ind w:right="-568" w:firstLine="414"/>
              <w:rPr>
                <w:rFonts w:eastAsia="Times New Roman" w:cs="Calibri"/>
                <w:sz w:val="16"/>
                <w:szCs w:val="16"/>
                <w:lang w:eastAsia="pt-BR"/>
              </w:rPr>
            </w:pPr>
            <w:r w:rsidRPr="00ED7F19">
              <w:rPr>
                <w:rFonts w:eastAsia="Times New Roman" w:cs="Calibri"/>
                <w:sz w:val="16"/>
                <w:szCs w:val="16"/>
                <w:lang w:eastAsia="pt-BR"/>
              </w:rPr>
              <w:t>-3,69</w:t>
            </w:r>
          </w:p>
        </w:tc>
        <w:tc>
          <w:tcPr>
            <w:tcW w:w="1072" w:type="dxa"/>
            <w:tcBorders>
              <w:top w:val="nil"/>
              <w:left w:val="nil"/>
              <w:bottom w:val="single" w:sz="4" w:space="0" w:color="auto"/>
              <w:right w:val="single" w:sz="4" w:space="0" w:color="auto"/>
            </w:tcBorders>
            <w:shd w:val="clear" w:color="000000" w:fill="FFFFFF"/>
            <w:vAlign w:val="center"/>
            <w:hideMark/>
          </w:tcPr>
          <w:p w14:paraId="0EACFD3A" w14:textId="77777777" w:rsidR="00ED7F19" w:rsidRPr="00ED7F19" w:rsidRDefault="00ED7F19" w:rsidP="00C80C8B">
            <w:pPr>
              <w:spacing w:after="0" w:line="240" w:lineRule="auto"/>
              <w:ind w:right="-568" w:firstLine="480"/>
              <w:rPr>
                <w:rFonts w:eastAsia="Times New Roman" w:cs="Calibri"/>
                <w:sz w:val="16"/>
                <w:szCs w:val="16"/>
                <w:lang w:eastAsia="pt-BR"/>
              </w:rPr>
            </w:pPr>
            <w:r w:rsidRPr="00ED7F19">
              <w:rPr>
                <w:rFonts w:ascii="Arial" w:eastAsia="Times New Roman" w:hAnsi="Arial" w:cs="Arial"/>
                <w:color w:val="00B050"/>
                <w:sz w:val="16"/>
                <w:szCs w:val="16"/>
                <w:lang w:eastAsia="pt-BR"/>
              </w:rPr>
              <w:t>ꜛ</w:t>
            </w:r>
          </w:p>
        </w:tc>
        <w:tc>
          <w:tcPr>
            <w:tcW w:w="1744" w:type="dxa"/>
            <w:tcBorders>
              <w:top w:val="nil"/>
              <w:left w:val="nil"/>
              <w:bottom w:val="single" w:sz="4" w:space="0" w:color="auto"/>
              <w:right w:val="single" w:sz="4" w:space="0" w:color="auto"/>
            </w:tcBorders>
            <w:shd w:val="clear" w:color="000000" w:fill="FFFFFF"/>
            <w:vAlign w:val="center"/>
            <w:hideMark/>
          </w:tcPr>
          <w:p w14:paraId="1D7B65C0" w14:textId="77777777" w:rsidR="00ED7F19" w:rsidRPr="00ED7F19" w:rsidRDefault="00ED7F19" w:rsidP="00C80C8B">
            <w:pPr>
              <w:spacing w:after="0" w:line="240" w:lineRule="auto"/>
              <w:ind w:right="-568" w:firstLine="259"/>
              <w:rPr>
                <w:rFonts w:eastAsia="Times New Roman" w:cs="Calibri"/>
                <w:sz w:val="16"/>
                <w:szCs w:val="16"/>
                <w:lang w:eastAsia="pt-BR"/>
              </w:rPr>
            </w:pPr>
            <w:r w:rsidRPr="00ED7F19">
              <w:rPr>
                <w:rFonts w:eastAsia="Times New Roman" w:cs="Calibri"/>
                <w:sz w:val="16"/>
                <w:szCs w:val="16"/>
                <w:lang w:eastAsia="pt-BR"/>
              </w:rPr>
              <w:t>(1)</w:t>
            </w:r>
          </w:p>
        </w:tc>
      </w:tr>
      <w:tr w:rsidR="00ED7F19" w:rsidRPr="00ED7F19" w14:paraId="28E69A2C" w14:textId="77777777" w:rsidTr="00673AEA">
        <w:trPr>
          <w:trHeight w:val="263"/>
        </w:trPr>
        <w:tc>
          <w:tcPr>
            <w:tcW w:w="2816" w:type="dxa"/>
            <w:tcBorders>
              <w:top w:val="nil"/>
              <w:left w:val="single" w:sz="4" w:space="0" w:color="auto"/>
              <w:bottom w:val="single" w:sz="4" w:space="0" w:color="auto"/>
              <w:right w:val="single" w:sz="4" w:space="0" w:color="auto"/>
            </w:tcBorders>
            <w:shd w:val="clear" w:color="000000" w:fill="FFFFFF"/>
            <w:vAlign w:val="center"/>
            <w:hideMark/>
          </w:tcPr>
          <w:p w14:paraId="3E30667B" w14:textId="77777777" w:rsidR="00ED7F19" w:rsidRPr="00ED7F19" w:rsidRDefault="00ED7F19" w:rsidP="00C80C8B">
            <w:pPr>
              <w:spacing w:after="0" w:line="240" w:lineRule="auto"/>
              <w:ind w:right="-568" w:firstLine="66"/>
              <w:rPr>
                <w:rFonts w:eastAsia="Times New Roman" w:cs="Calibri"/>
                <w:b/>
                <w:bCs/>
                <w:sz w:val="16"/>
                <w:szCs w:val="16"/>
                <w:lang w:eastAsia="pt-BR"/>
              </w:rPr>
            </w:pPr>
            <w:r w:rsidRPr="00ED7F19">
              <w:rPr>
                <w:rFonts w:eastAsia="Times New Roman" w:cs="Calibri"/>
                <w:b/>
                <w:bCs/>
                <w:sz w:val="16"/>
                <w:szCs w:val="16"/>
                <w:lang w:eastAsia="pt-BR"/>
              </w:rPr>
              <w:t>IPCA Administrados (variação %)</w:t>
            </w:r>
          </w:p>
        </w:tc>
        <w:tc>
          <w:tcPr>
            <w:tcW w:w="1148" w:type="dxa"/>
            <w:tcBorders>
              <w:top w:val="nil"/>
              <w:left w:val="nil"/>
              <w:bottom w:val="single" w:sz="4" w:space="0" w:color="auto"/>
              <w:right w:val="single" w:sz="4" w:space="0" w:color="auto"/>
            </w:tcBorders>
            <w:shd w:val="clear" w:color="000000" w:fill="FFFFFF"/>
            <w:vAlign w:val="center"/>
          </w:tcPr>
          <w:p w14:paraId="61D850D4" w14:textId="77777777" w:rsidR="00ED7F19" w:rsidRPr="00ED7F19" w:rsidRDefault="00ED7F19" w:rsidP="00C80C8B">
            <w:pPr>
              <w:spacing w:after="0" w:line="240" w:lineRule="auto"/>
              <w:ind w:right="-568" w:hanging="429"/>
              <w:jc w:val="center"/>
              <w:rPr>
                <w:rFonts w:eastAsia="Times New Roman" w:cs="Calibri"/>
                <w:sz w:val="16"/>
                <w:szCs w:val="16"/>
                <w:lang w:eastAsia="pt-BR"/>
              </w:rPr>
            </w:pPr>
            <w:r w:rsidRPr="00ED7F19">
              <w:rPr>
                <w:rFonts w:eastAsia="Times New Roman" w:cs="Calibri"/>
                <w:sz w:val="16"/>
                <w:szCs w:val="16"/>
                <w:lang w:eastAsia="pt-BR"/>
              </w:rPr>
              <w:t>10,02</w:t>
            </w:r>
          </w:p>
        </w:tc>
        <w:tc>
          <w:tcPr>
            <w:tcW w:w="931" w:type="dxa"/>
            <w:tcBorders>
              <w:top w:val="nil"/>
              <w:left w:val="nil"/>
              <w:bottom w:val="single" w:sz="4" w:space="0" w:color="auto"/>
              <w:right w:val="single" w:sz="4" w:space="0" w:color="auto"/>
            </w:tcBorders>
            <w:shd w:val="clear" w:color="000000" w:fill="FFFFFF"/>
            <w:vAlign w:val="center"/>
          </w:tcPr>
          <w:p w14:paraId="42A1AE2E" w14:textId="77777777" w:rsidR="00ED7F19" w:rsidRPr="00ED7F19" w:rsidRDefault="00ED7F19" w:rsidP="00C80C8B">
            <w:pPr>
              <w:spacing w:after="0" w:line="240" w:lineRule="auto"/>
              <w:ind w:right="-568" w:firstLine="353"/>
              <w:rPr>
                <w:rFonts w:eastAsia="Times New Roman" w:cs="Calibri"/>
                <w:sz w:val="16"/>
                <w:szCs w:val="16"/>
                <w:lang w:eastAsia="pt-BR"/>
              </w:rPr>
            </w:pPr>
            <w:r w:rsidRPr="00ED7F19">
              <w:rPr>
                <w:rFonts w:eastAsia="Times New Roman" w:cs="Calibri"/>
                <w:sz w:val="16"/>
                <w:szCs w:val="16"/>
                <w:lang w:eastAsia="pt-BR"/>
              </w:rPr>
              <w:t>10,22</w:t>
            </w:r>
          </w:p>
        </w:tc>
        <w:tc>
          <w:tcPr>
            <w:tcW w:w="1356" w:type="dxa"/>
            <w:tcBorders>
              <w:top w:val="nil"/>
              <w:left w:val="nil"/>
              <w:bottom w:val="single" w:sz="4" w:space="0" w:color="auto"/>
              <w:right w:val="single" w:sz="4" w:space="0" w:color="auto"/>
            </w:tcBorders>
            <w:shd w:val="clear" w:color="000000" w:fill="FFFFFF"/>
            <w:vAlign w:val="center"/>
          </w:tcPr>
          <w:p w14:paraId="4FA3FA65" w14:textId="77777777" w:rsidR="00ED7F19" w:rsidRPr="00ED7F19" w:rsidRDefault="00ED7F19" w:rsidP="00C80C8B">
            <w:pPr>
              <w:spacing w:after="0" w:line="240" w:lineRule="auto"/>
              <w:ind w:right="-568" w:firstLine="414"/>
              <w:rPr>
                <w:rFonts w:eastAsia="Times New Roman" w:cs="Calibri"/>
                <w:sz w:val="16"/>
                <w:szCs w:val="16"/>
                <w:lang w:eastAsia="pt-BR"/>
              </w:rPr>
            </w:pPr>
            <w:r w:rsidRPr="00ED7F19">
              <w:rPr>
                <w:rFonts w:eastAsia="Times New Roman" w:cs="Calibri"/>
                <w:sz w:val="16"/>
                <w:szCs w:val="16"/>
                <w:lang w:eastAsia="pt-BR"/>
              </w:rPr>
              <w:t>10,23</w:t>
            </w:r>
          </w:p>
        </w:tc>
        <w:tc>
          <w:tcPr>
            <w:tcW w:w="1072" w:type="dxa"/>
            <w:tcBorders>
              <w:top w:val="nil"/>
              <w:left w:val="nil"/>
              <w:bottom w:val="single" w:sz="4" w:space="0" w:color="auto"/>
              <w:right w:val="single" w:sz="4" w:space="0" w:color="auto"/>
            </w:tcBorders>
            <w:shd w:val="clear" w:color="000000" w:fill="FFFFFF"/>
            <w:vAlign w:val="center"/>
            <w:hideMark/>
          </w:tcPr>
          <w:p w14:paraId="60C9CCCE" w14:textId="77777777" w:rsidR="00ED7F19" w:rsidRPr="00ED7F19" w:rsidRDefault="00ED7F19" w:rsidP="00C80C8B">
            <w:pPr>
              <w:spacing w:after="0" w:line="240" w:lineRule="auto"/>
              <w:ind w:right="-568" w:firstLine="480"/>
              <w:rPr>
                <w:rFonts w:eastAsia="Times New Roman" w:cs="Calibri"/>
                <w:color w:val="00B050"/>
                <w:sz w:val="16"/>
                <w:szCs w:val="16"/>
                <w:lang w:eastAsia="pt-BR"/>
              </w:rPr>
            </w:pPr>
            <w:r w:rsidRPr="00ED7F19">
              <w:rPr>
                <w:rFonts w:ascii="Arial" w:eastAsia="Times New Roman" w:hAnsi="Arial" w:cs="Arial"/>
                <w:color w:val="00B050"/>
                <w:sz w:val="16"/>
                <w:szCs w:val="16"/>
                <w:lang w:eastAsia="pt-BR"/>
              </w:rPr>
              <w:t>ꜛ</w:t>
            </w:r>
          </w:p>
        </w:tc>
        <w:tc>
          <w:tcPr>
            <w:tcW w:w="1744" w:type="dxa"/>
            <w:tcBorders>
              <w:top w:val="nil"/>
              <w:left w:val="nil"/>
              <w:bottom w:val="single" w:sz="4" w:space="0" w:color="auto"/>
              <w:right w:val="single" w:sz="4" w:space="0" w:color="auto"/>
            </w:tcBorders>
            <w:shd w:val="clear" w:color="000000" w:fill="FFFFFF"/>
            <w:vAlign w:val="center"/>
            <w:hideMark/>
          </w:tcPr>
          <w:p w14:paraId="38C2EC0E" w14:textId="77777777" w:rsidR="00ED7F19" w:rsidRPr="00ED7F19" w:rsidRDefault="00ED7F19" w:rsidP="00C80C8B">
            <w:pPr>
              <w:spacing w:after="0" w:line="240" w:lineRule="auto"/>
              <w:ind w:right="-568" w:firstLine="259"/>
              <w:rPr>
                <w:rFonts w:eastAsia="Times New Roman" w:cs="Calibri"/>
                <w:sz w:val="16"/>
                <w:szCs w:val="16"/>
                <w:lang w:eastAsia="pt-BR"/>
              </w:rPr>
            </w:pPr>
            <w:r w:rsidRPr="00ED7F19">
              <w:rPr>
                <w:rFonts w:eastAsia="Times New Roman" w:cs="Calibri"/>
                <w:sz w:val="16"/>
                <w:szCs w:val="16"/>
                <w:lang w:eastAsia="pt-BR"/>
              </w:rPr>
              <w:t>(10)</w:t>
            </w:r>
          </w:p>
        </w:tc>
      </w:tr>
      <w:tr w:rsidR="00ED7F19" w:rsidRPr="00ED7F19" w14:paraId="18618E26" w14:textId="77777777" w:rsidTr="00673AEA">
        <w:trPr>
          <w:trHeight w:val="263"/>
        </w:trPr>
        <w:tc>
          <w:tcPr>
            <w:tcW w:w="2816" w:type="dxa"/>
            <w:tcBorders>
              <w:top w:val="nil"/>
              <w:left w:val="single" w:sz="4" w:space="0" w:color="auto"/>
              <w:bottom w:val="single" w:sz="4" w:space="0" w:color="auto"/>
              <w:right w:val="single" w:sz="4" w:space="0" w:color="auto"/>
            </w:tcBorders>
            <w:shd w:val="clear" w:color="000000" w:fill="FFFFFF"/>
            <w:vAlign w:val="center"/>
            <w:hideMark/>
          </w:tcPr>
          <w:p w14:paraId="31B54F98" w14:textId="77777777" w:rsidR="00ED7F19" w:rsidRPr="00ED7F19" w:rsidRDefault="00ED7F19" w:rsidP="00C80C8B">
            <w:pPr>
              <w:spacing w:after="0" w:line="240" w:lineRule="auto"/>
              <w:ind w:right="-568" w:firstLine="66"/>
              <w:rPr>
                <w:rFonts w:eastAsia="Times New Roman" w:cs="Calibri"/>
                <w:b/>
                <w:bCs/>
                <w:sz w:val="16"/>
                <w:szCs w:val="16"/>
                <w:lang w:eastAsia="pt-BR"/>
              </w:rPr>
            </w:pPr>
            <w:r w:rsidRPr="00ED7F19">
              <w:rPr>
                <w:rFonts w:eastAsia="Times New Roman" w:cs="Calibri"/>
                <w:b/>
                <w:bCs/>
                <w:sz w:val="16"/>
                <w:szCs w:val="16"/>
                <w:lang w:eastAsia="pt-BR"/>
              </w:rPr>
              <w:t>Conta Corrente (US$ bilhões)</w:t>
            </w:r>
          </w:p>
        </w:tc>
        <w:tc>
          <w:tcPr>
            <w:tcW w:w="1148" w:type="dxa"/>
            <w:tcBorders>
              <w:top w:val="nil"/>
              <w:left w:val="nil"/>
              <w:bottom w:val="single" w:sz="4" w:space="0" w:color="auto"/>
              <w:right w:val="single" w:sz="4" w:space="0" w:color="auto"/>
            </w:tcBorders>
            <w:shd w:val="clear" w:color="000000" w:fill="FFFFFF"/>
            <w:vAlign w:val="center"/>
          </w:tcPr>
          <w:p w14:paraId="13BB4A3F" w14:textId="77777777" w:rsidR="00ED7F19" w:rsidRPr="00ED7F19" w:rsidRDefault="00ED7F19" w:rsidP="00C80C8B">
            <w:pPr>
              <w:spacing w:after="0" w:line="240" w:lineRule="auto"/>
              <w:ind w:right="-568" w:hanging="429"/>
              <w:jc w:val="center"/>
              <w:rPr>
                <w:rFonts w:eastAsia="Times New Roman" w:cs="Calibri"/>
                <w:sz w:val="16"/>
                <w:szCs w:val="16"/>
                <w:lang w:eastAsia="pt-BR"/>
              </w:rPr>
            </w:pPr>
            <w:r w:rsidRPr="00ED7F19">
              <w:rPr>
                <w:rFonts w:eastAsia="Times New Roman" w:cs="Calibri"/>
                <w:sz w:val="16"/>
                <w:szCs w:val="16"/>
                <w:lang w:eastAsia="pt-BR"/>
              </w:rPr>
              <w:t>-43,00</w:t>
            </w:r>
          </w:p>
        </w:tc>
        <w:tc>
          <w:tcPr>
            <w:tcW w:w="931" w:type="dxa"/>
            <w:tcBorders>
              <w:top w:val="nil"/>
              <w:left w:val="nil"/>
              <w:bottom w:val="single" w:sz="4" w:space="0" w:color="auto"/>
              <w:right w:val="single" w:sz="4" w:space="0" w:color="auto"/>
            </w:tcBorders>
            <w:shd w:val="clear" w:color="000000" w:fill="FFFFFF"/>
            <w:vAlign w:val="center"/>
          </w:tcPr>
          <w:p w14:paraId="131C0611" w14:textId="77777777" w:rsidR="00ED7F19" w:rsidRPr="00ED7F19" w:rsidRDefault="00ED7F19" w:rsidP="00C80C8B">
            <w:pPr>
              <w:spacing w:after="0" w:line="240" w:lineRule="auto"/>
              <w:ind w:right="-568" w:firstLine="353"/>
              <w:rPr>
                <w:rFonts w:eastAsia="Times New Roman" w:cs="Calibri"/>
                <w:sz w:val="16"/>
                <w:szCs w:val="16"/>
                <w:lang w:eastAsia="pt-BR"/>
              </w:rPr>
            </w:pPr>
            <w:r w:rsidRPr="00ED7F19">
              <w:rPr>
                <w:rFonts w:eastAsia="Times New Roman" w:cs="Calibri"/>
                <w:sz w:val="16"/>
                <w:szCs w:val="16"/>
                <w:lang w:eastAsia="pt-BR"/>
              </w:rPr>
              <w:t>-43,30</w:t>
            </w:r>
          </w:p>
        </w:tc>
        <w:tc>
          <w:tcPr>
            <w:tcW w:w="1356" w:type="dxa"/>
            <w:tcBorders>
              <w:top w:val="nil"/>
              <w:left w:val="nil"/>
              <w:bottom w:val="single" w:sz="4" w:space="0" w:color="auto"/>
              <w:right w:val="single" w:sz="4" w:space="0" w:color="auto"/>
            </w:tcBorders>
            <w:shd w:val="clear" w:color="000000" w:fill="FFFFFF"/>
            <w:vAlign w:val="center"/>
          </w:tcPr>
          <w:p w14:paraId="35216FFA" w14:textId="77777777" w:rsidR="00ED7F19" w:rsidRPr="00ED7F19" w:rsidRDefault="00ED7F19" w:rsidP="00C80C8B">
            <w:pPr>
              <w:spacing w:after="0" w:line="240" w:lineRule="auto"/>
              <w:ind w:right="-568" w:firstLine="414"/>
              <w:rPr>
                <w:rFonts w:eastAsia="Times New Roman" w:cs="Calibri"/>
                <w:sz w:val="16"/>
                <w:szCs w:val="16"/>
                <w:lang w:eastAsia="pt-BR"/>
              </w:rPr>
            </w:pPr>
            <w:r w:rsidRPr="00ED7F19">
              <w:rPr>
                <w:rFonts w:eastAsia="Times New Roman" w:cs="Calibri"/>
                <w:sz w:val="16"/>
                <w:szCs w:val="16"/>
                <w:lang w:eastAsia="pt-BR"/>
              </w:rPr>
              <w:t>-43,30</w:t>
            </w:r>
          </w:p>
        </w:tc>
        <w:tc>
          <w:tcPr>
            <w:tcW w:w="1072" w:type="dxa"/>
            <w:tcBorders>
              <w:top w:val="nil"/>
              <w:left w:val="nil"/>
              <w:bottom w:val="single" w:sz="4" w:space="0" w:color="auto"/>
              <w:right w:val="single" w:sz="4" w:space="0" w:color="auto"/>
            </w:tcBorders>
            <w:shd w:val="clear" w:color="000000" w:fill="FFFFFF"/>
            <w:vAlign w:val="center"/>
            <w:hideMark/>
          </w:tcPr>
          <w:p w14:paraId="5ED18D54" w14:textId="77777777" w:rsidR="00ED7F19" w:rsidRPr="00ED7F19" w:rsidRDefault="00ED7F19" w:rsidP="00C80C8B">
            <w:pPr>
              <w:spacing w:after="0" w:line="240" w:lineRule="auto"/>
              <w:ind w:right="-568" w:firstLine="480"/>
              <w:rPr>
                <w:rFonts w:eastAsia="Times New Roman" w:cs="Calibri"/>
                <w:color w:val="FF0000"/>
                <w:sz w:val="16"/>
                <w:szCs w:val="16"/>
                <w:lang w:eastAsia="pt-BR"/>
              </w:rPr>
            </w:pPr>
            <w:r w:rsidRPr="00ED7F19">
              <w:rPr>
                <w:rFonts w:eastAsia="Times New Roman" w:cs="Calibri"/>
                <w:sz w:val="16"/>
                <w:szCs w:val="16"/>
                <w:lang w:eastAsia="pt-BR"/>
              </w:rPr>
              <w:t>=</w:t>
            </w:r>
          </w:p>
        </w:tc>
        <w:tc>
          <w:tcPr>
            <w:tcW w:w="1744" w:type="dxa"/>
            <w:tcBorders>
              <w:top w:val="nil"/>
              <w:left w:val="nil"/>
              <w:bottom w:val="single" w:sz="4" w:space="0" w:color="auto"/>
              <w:right w:val="single" w:sz="4" w:space="0" w:color="auto"/>
            </w:tcBorders>
            <w:shd w:val="clear" w:color="000000" w:fill="FFFFFF"/>
            <w:vAlign w:val="center"/>
            <w:hideMark/>
          </w:tcPr>
          <w:p w14:paraId="2827C29B" w14:textId="77777777" w:rsidR="00ED7F19" w:rsidRPr="00ED7F19" w:rsidRDefault="00ED7F19" w:rsidP="00C80C8B">
            <w:pPr>
              <w:spacing w:after="0" w:line="240" w:lineRule="auto"/>
              <w:ind w:right="-568" w:firstLine="259"/>
              <w:rPr>
                <w:rFonts w:eastAsia="Times New Roman" w:cs="Calibri"/>
                <w:sz w:val="16"/>
                <w:szCs w:val="16"/>
                <w:lang w:eastAsia="pt-BR"/>
              </w:rPr>
            </w:pPr>
            <w:r w:rsidRPr="00ED7F19">
              <w:rPr>
                <w:rFonts w:eastAsia="Times New Roman" w:cs="Calibri"/>
                <w:sz w:val="16"/>
                <w:szCs w:val="16"/>
                <w:lang w:eastAsia="pt-BR"/>
              </w:rPr>
              <w:t>(1)</w:t>
            </w:r>
          </w:p>
        </w:tc>
      </w:tr>
      <w:tr w:rsidR="00ED7F19" w:rsidRPr="00ED7F19" w14:paraId="246F67E5" w14:textId="77777777" w:rsidTr="00673AEA">
        <w:trPr>
          <w:trHeight w:val="263"/>
        </w:trPr>
        <w:tc>
          <w:tcPr>
            <w:tcW w:w="2816" w:type="dxa"/>
            <w:tcBorders>
              <w:top w:val="nil"/>
              <w:left w:val="single" w:sz="4" w:space="0" w:color="auto"/>
              <w:bottom w:val="single" w:sz="4" w:space="0" w:color="auto"/>
              <w:right w:val="single" w:sz="4" w:space="0" w:color="auto"/>
            </w:tcBorders>
            <w:shd w:val="clear" w:color="000000" w:fill="FFFFFF"/>
            <w:vAlign w:val="center"/>
            <w:hideMark/>
          </w:tcPr>
          <w:p w14:paraId="71971979" w14:textId="77777777" w:rsidR="00ED7F19" w:rsidRPr="00ED7F19" w:rsidRDefault="00ED7F19" w:rsidP="00C80C8B">
            <w:pPr>
              <w:spacing w:after="0" w:line="240" w:lineRule="auto"/>
              <w:ind w:right="-568" w:firstLine="66"/>
              <w:rPr>
                <w:rFonts w:eastAsia="Times New Roman" w:cs="Calibri"/>
                <w:b/>
                <w:bCs/>
                <w:sz w:val="16"/>
                <w:szCs w:val="16"/>
                <w:lang w:eastAsia="pt-BR"/>
              </w:rPr>
            </w:pPr>
            <w:r w:rsidRPr="00ED7F19">
              <w:rPr>
                <w:rFonts w:eastAsia="Times New Roman" w:cs="Calibri"/>
                <w:b/>
                <w:bCs/>
                <w:sz w:val="16"/>
                <w:szCs w:val="16"/>
                <w:lang w:eastAsia="pt-BR"/>
              </w:rPr>
              <w:t>Balança Comercial (US$ bilhões)</w:t>
            </w:r>
          </w:p>
        </w:tc>
        <w:tc>
          <w:tcPr>
            <w:tcW w:w="1148" w:type="dxa"/>
            <w:tcBorders>
              <w:top w:val="nil"/>
              <w:left w:val="nil"/>
              <w:bottom w:val="single" w:sz="4" w:space="0" w:color="auto"/>
              <w:right w:val="single" w:sz="4" w:space="0" w:color="auto"/>
            </w:tcBorders>
            <w:shd w:val="clear" w:color="000000" w:fill="FFFFFF"/>
            <w:vAlign w:val="center"/>
          </w:tcPr>
          <w:p w14:paraId="4CB936B6" w14:textId="77777777" w:rsidR="00ED7F19" w:rsidRPr="00ED7F19" w:rsidRDefault="00ED7F19" w:rsidP="00C80C8B">
            <w:pPr>
              <w:spacing w:after="0" w:line="240" w:lineRule="auto"/>
              <w:ind w:right="-568" w:hanging="429"/>
              <w:jc w:val="center"/>
              <w:rPr>
                <w:rFonts w:eastAsia="Times New Roman" w:cs="Calibri"/>
                <w:sz w:val="16"/>
                <w:szCs w:val="16"/>
                <w:lang w:eastAsia="pt-BR"/>
              </w:rPr>
            </w:pPr>
            <w:r w:rsidRPr="00ED7F19">
              <w:rPr>
                <w:rFonts w:eastAsia="Times New Roman" w:cs="Calibri"/>
                <w:sz w:val="16"/>
                <w:szCs w:val="16"/>
                <w:lang w:eastAsia="pt-BR"/>
              </w:rPr>
              <w:t>72,35</w:t>
            </w:r>
          </w:p>
        </w:tc>
        <w:tc>
          <w:tcPr>
            <w:tcW w:w="931" w:type="dxa"/>
            <w:tcBorders>
              <w:top w:val="nil"/>
              <w:left w:val="nil"/>
              <w:bottom w:val="single" w:sz="4" w:space="0" w:color="auto"/>
              <w:right w:val="single" w:sz="4" w:space="0" w:color="auto"/>
            </w:tcBorders>
            <w:shd w:val="clear" w:color="000000" w:fill="FFFFFF"/>
            <w:vAlign w:val="center"/>
          </w:tcPr>
          <w:p w14:paraId="7874B26A" w14:textId="77777777" w:rsidR="00ED7F19" w:rsidRPr="00ED7F19" w:rsidRDefault="00ED7F19" w:rsidP="00C80C8B">
            <w:pPr>
              <w:spacing w:after="0" w:line="240" w:lineRule="auto"/>
              <w:ind w:right="-568" w:firstLine="353"/>
              <w:rPr>
                <w:rFonts w:eastAsia="Times New Roman" w:cs="Calibri"/>
                <w:sz w:val="16"/>
                <w:szCs w:val="16"/>
                <w:lang w:eastAsia="pt-BR"/>
              </w:rPr>
            </w:pPr>
            <w:r w:rsidRPr="00ED7F19">
              <w:rPr>
                <w:rFonts w:eastAsia="Times New Roman" w:cs="Calibri"/>
                <w:sz w:val="16"/>
                <w:szCs w:val="16"/>
                <w:lang w:eastAsia="pt-BR"/>
              </w:rPr>
              <w:t>73,00</w:t>
            </w:r>
          </w:p>
        </w:tc>
        <w:tc>
          <w:tcPr>
            <w:tcW w:w="1356" w:type="dxa"/>
            <w:tcBorders>
              <w:top w:val="nil"/>
              <w:left w:val="nil"/>
              <w:bottom w:val="single" w:sz="4" w:space="0" w:color="auto"/>
              <w:right w:val="single" w:sz="4" w:space="0" w:color="auto"/>
            </w:tcBorders>
            <w:shd w:val="clear" w:color="000000" w:fill="FFFFFF"/>
            <w:vAlign w:val="center"/>
          </w:tcPr>
          <w:p w14:paraId="2FED8598" w14:textId="77777777" w:rsidR="00ED7F19" w:rsidRPr="00ED7F19" w:rsidRDefault="00ED7F19" w:rsidP="00C80C8B">
            <w:pPr>
              <w:spacing w:after="0" w:line="240" w:lineRule="auto"/>
              <w:ind w:right="-568" w:firstLine="414"/>
              <w:rPr>
                <w:rFonts w:eastAsia="Times New Roman" w:cs="Calibri"/>
                <w:sz w:val="16"/>
                <w:szCs w:val="16"/>
                <w:lang w:eastAsia="pt-BR"/>
              </w:rPr>
            </w:pPr>
            <w:r w:rsidRPr="00ED7F19">
              <w:rPr>
                <w:rFonts w:eastAsia="Times New Roman" w:cs="Calibri"/>
                <w:sz w:val="16"/>
                <w:szCs w:val="16"/>
                <w:lang w:eastAsia="pt-BR"/>
              </w:rPr>
              <w:t>72,10</w:t>
            </w:r>
          </w:p>
        </w:tc>
        <w:tc>
          <w:tcPr>
            <w:tcW w:w="1072" w:type="dxa"/>
            <w:tcBorders>
              <w:top w:val="nil"/>
              <w:left w:val="nil"/>
              <w:bottom w:val="single" w:sz="4" w:space="0" w:color="auto"/>
              <w:right w:val="single" w:sz="4" w:space="0" w:color="auto"/>
            </w:tcBorders>
            <w:shd w:val="clear" w:color="000000" w:fill="FFFFFF"/>
            <w:vAlign w:val="center"/>
            <w:hideMark/>
          </w:tcPr>
          <w:p w14:paraId="462AE013" w14:textId="77777777" w:rsidR="00ED7F19" w:rsidRPr="00ED7F19" w:rsidRDefault="00ED7F19" w:rsidP="00C80C8B">
            <w:pPr>
              <w:spacing w:after="0" w:line="240" w:lineRule="auto"/>
              <w:ind w:right="-568" w:firstLine="480"/>
              <w:rPr>
                <w:rFonts w:eastAsia="Times New Roman" w:cs="Calibri"/>
                <w:color w:val="00B050"/>
                <w:sz w:val="16"/>
                <w:szCs w:val="16"/>
                <w:lang w:eastAsia="pt-BR"/>
              </w:rPr>
            </w:pPr>
            <w:r w:rsidRPr="00ED7F19">
              <w:rPr>
                <w:rFonts w:ascii="Arial" w:eastAsia="Times New Roman" w:hAnsi="Arial" w:cs="Arial"/>
                <w:color w:val="FF0000"/>
                <w:sz w:val="16"/>
                <w:szCs w:val="16"/>
                <w:lang w:eastAsia="pt-BR"/>
              </w:rPr>
              <w:t>ꜜ</w:t>
            </w:r>
          </w:p>
        </w:tc>
        <w:tc>
          <w:tcPr>
            <w:tcW w:w="1744" w:type="dxa"/>
            <w:tcBorders>
              <w:top w:val="nil"/>
              <w:left w:val="nil"/>
              <w:bottom w:val="single" w:sz="4" w:space="0" w:color="auto"/>
              <w:right w:val="single" w:sz="4" w:space="0" w:color="auto"/>
            </w:tcBorders>
            <w:shd w:val="clear" w:color="000000" w:fill="FFFFFF"/>
            <w:vAlign w:val="center"/>
            <w:hideMark/>
          </w:tcPr>
          <w:p w14:paraId="75E31A28" w14:textId="77777777" w:rsidR="00ED7F19" w:rsidRPr="00ED7F19" w:rsidRDefault="00ED7F19" w:rsidP="00C80C8B">
            <w:pPr>
              <w:spacing w:after="0" w:line="240" w:lineRule="auto"/>
              <w:ind w:right="-568" w:firstLine="259"/>
              <w:rPr>
                <w:rFonts w:eastAsia="Times New Roman" w:cs="Calibri"/>
                <w:sz w:val="16"/>
                <w:szCs w:val="16"/>
                <w:lang w:eastAsia="pt-BR"/>
              </w:rPr>
            </w:pPr>
            <w:r w:rsidRPr="00ED7F19">
              <w:rPr>
                <w:rFonts w:eastAsia="Times New Roman" w:cs="Calibri"/>
                <w:sz w:val="16"/>
                <w:szCs w:val="16"/>
                <w:lang w:eastAsia="pt-BR"/>
              </w:rPr>
              <w:t>(1)</w:t>
            </w:r>
          </w:p>
        </w:tc>
      </w:tr>
      <w:tr w:rsidR="00ED7F19" w:rsidRPr="00ED7F19" w14:paraId="16B97C0F" w14:textId="77777777" w:rsidTr="00673AEA">
        <w:trPr>
          <w:trHeight w:val="263"/>
        </w:trPr>
        <w:tc>
          <w:tcPr>
            <w:tcW w:w="2816" w:type="dxa"/>
            <w:tcBorders>
              <w:top w:val="nil"/>
              <w:left w:val="single" w:sz="4" w:space="0" w:color="auto"/>
              <w:bottom w:val="single" w:sz="4" w:space="0" w:color="auto"/>
              <w:right w:val="single" w:sz="4" w:space="0" w:color="auto"/>
            </w:tcBorders>
            <w:shd w:val="clear" w:color="000000" w:fill="FFFFFF"/>
            <w:vAlign w:val="center"/>
            <w:hideMark/>
          </w:tcPr>
          <w:p w14:paraId="60F17D4D" w14:textId="77777777" w:rsidR="00ED7F19" w:rsidRPr="00ED7F19" w:rsidRDefault="00ED7F19" w:rsidP="00C80C8B">
            <w:pPr>
              <w:spacing w:after="0" w:line="240" w:lineRule="auto"/>
              <w:ind w:right="-568" w:firstLine="66"/>
              <w:rPr>
                <w:rFonts w:eastAsia="Times New Roman" w:cs="Calibri"/>
                <w:b/>
                <w:bCs/>
                <w:sz w:val="16"/>
                <w:szCs w:val="16"/>
                <w:lang w:eastAsia="pt-BR"/>
              </w:rPr>
            </w:pPr>
            <w:r w:rsidRPr="00ED7F19">
              <w:rPr>
                <w:rFonts w:eastAsia="Times New Roman" w:cs="Calibri"/>
                <w:b/>
                <w:bCs/>
                <w:sz w:val="16"/>
                <w:szCs w:val="16"/>
                <w:lang w:eastAsia="pt-BR"/>
              </w:rPr>
              <w:t>Investimento Direto no País (US$ bilhões)</w:t>
            </w:r>
          </w:p>
        </w:tc>
        <w:tc>
          <w:tcPr>
            <w:tcW w:w="1148" w:type="dxa"/>
            <w:tcBorders>
              <w:top w:val="nil"/>
              <w:left w:val="nil"/>
              <w:bottom w:val="single" w:sz="4" w:space="0" w:color="auto"/>
              <w:right w:val="single" w:sz="4" w:space="0" w:color="auto"/>
            </w:tcBorders>
            <w:shd w:val="clear" w:color="000000" w:fill="FFFFFF"/>
            <w:vAlign w:val="center"/>
          </w:tcPr>
          <w:p w14:paraId="2B60ED42" w14:textId="77777777" w:rsidR="00ED7F19" w:rsidRPr="00ED7F19" w:rsidRDefault="00ED7F19" w:rsidP="00C80C8B">
            <w:pPr>
              <w:spacing w:after="0" w:line="240" w:lineRule="auto"/>
              <w:ind w:right="-568" w:hanging="429"/>
              <w:jc w:val="center"/>
              <w:rPr>
                <w:rFonts w:eastAsia="Times New Roman" w:cs="Calibri"/>
                <w:sz w:val="16"/>
                <w:szCs w:val="16"/>
                <w:lang w:eastAsia="pt-BR"/>
              </w:rPr>
            </w:pPr>
            <w:r w:rsidRPr="00ED7F19">
              <w:rPr>
                <w:rFonts w:eastAsia="Times New Roman" w:cs="Calibri"/>
                <w:sz w:val="16"/>
                <w:szCs w:val="16"/>
                <w:lang w:eastAsia="pt-BR"/>
              </w:rPr>
              <w:t>80,00</w:t>
            </w:r>
          </w:p>
        </w:tc>
        <w:tc>
          <w:tcPr>
            <w:tcW w:w="931" w:type="dxa"/>
            <w:tcBorders>
              <w:top w:val="nil"/>
              <w:left w:val="nil"/>
              <w:bottom w:val="single" w:sz="4" w:space="0" w:color="auto"/>
              <w:right w:val="single" w:sz="4" w:space="0" w:color="auto"/>
            </w:tcBorders>
            <w:shd w:val="clear" w:color="000000" w:fill="FFFFFF"/>
            <w:vAlign w:val="center"/>
          </w:tcPr>
          <w:p w14:paraId="407AC13D" w14:textId="77777777" w:rsidR="00ED7F19" w:rsidRPr="00ED7F19" w:rsidRDefault="00ED7F19" w:rsidP="00C80C8B">
            <w:pPr>
              <w:spacing w:after="0" w:line="240" w:lineRule="auto"/>
              <w:ind w:right="-568" w:firstLine="353"/>
              <w:rPr>
                <w:rFonts w:eastAsia="Times New Roman" w:cs="Calibri"/>
                <w:sz w:val="16"/>
                <w:szCs w:val="16"/>
                <w:lang w:eastAsia="pt-BR"/>
              </w:rPr>
            </w:pPr>
            <w:r w:rsidRPr="00ED7F19">
              <w:rPr>
                <w:rFonts w:eastAsia="Times New Roman" w:cs="Calibri"/>
                <w:sz w:val="16"/>
                <w:szCs w:val="16"/>
                <w:lang w:eastAsia="pt-BR"/>
              </w:rPr>
              <w:t>80,00</w:t>
            </w:r>
          </w:p>
        </w:tc>
        <w:tc>
          <w:tcPr>
            <w:tcW w:w="1356" w:type="dxa"/>
            <w:tcBorders>
              <w:top w:val="nil"/>
              <w:left w:val="nil"/>
              <w:bottom w:val="single" w:sz="4" w:space="0" w:color="auto"/>
              <w:right w:val="single" w:sz="4" w:space="0" w:color="auto"/>
            </w:tcBorders>
            <w:shd w:val="clear" w:color="000000" w:fill="FFFFFF"/>
            <w:vAlign w:val="center"/>
          </w:tcPr>
          <w:p w14:paraId="405406D8" w14:textId="77777777" w:rsidR="00ED7F19" w:rsidRPr="00ED7F19" w:rsidRDefault="00ED7F19" w:rsidP="00C80C8B">
            <w:pPr>
              <w:spacing w:after="0" w:line="240" w:lineRule="auto"/>
              <w:ind w:right="-568" w:firstLine="414"/>
              <w:rPr>
                <w:rFonts w:eastAsia="Times New Roman" w:cs="Calibri"/>
                <w:sz w:val="16"/>
                <w:szCs w:val="16"/>
                <w:lang w:eastAsia="pt-BR"/>
              </w:rPr>
            </w:pPr>
            <w:r w:rsidRPr="00ED7F19">
              <w:rPr>
                <w:rFonts w:eastAsia="Times New Roman" w:cs="Calibri"/>
                <w:sz w:val="16"/>
                <w:szCs w:val="16"/>
                <w:lang w:eastAsia="pt-BR"/>
              </w:rPr>
              <w:t>80,00</w:t>
            </w:r>
          </w:p>
        </w:tc>
        <w:tc>
          <w:tcPr>
            <w:tcW w:w="1072" w:type="dxa"/>
            <w:tcBorders>
              <w:top w:val="nil"/>
              <w:left w:val="nil"/>
              <w:bottom w:val="single" w:sz="4" w:space="0" w:color="auto"/>
              <w:right w:val="single" w:sz="4" w:space="0" w:color="auto"/>
            </w:tcBorders>
            <w:shd w:val="clear" w:color="000000" w:fill="FFFFFF"/>
            <w:vAlign w:val="center"/>
            <w:hideMark/>
          </w:tcPr>
          <w:p w14:paraId="72976375" w14:textId="77777777" w:rsidR="00ED7F19" w:rsidRPr="00ED7F19" w:rsidRDefault="00ED7F19" w:rsidP="00C80C8B">
            <w:pPr>
              <w:spacing w:after="0" w:line="240" w:lineRule="auto"/>
              <w:ind w:right="-568" w:firstLine="480"/>
              <w:rPr>
                <w:rFonts w:eastAsia="Times New Roman" w:cs="Calibri"/>
                <w:color w:val="00B050"/>
                <w:sz w:val="16"/>
                <w:szCs w:val="16"/>
                <w:lang w:eastAsia="pt-BR"/>
              </w:rPr>
            </w:pPr>
            <w:r w:rsidRPr="00ED7F19">
              <w:rPr>
                <w:rFonts w:eastAsia="Times New Roman" w:cs="Calibri"/>
                <w:sz w:val="16"/>
                <w:szCs w:val="16"/>
                <w:lang w:eastAsia="pt-BR"/>
              </w:rPr>
              <w:t>=</w:t>
            </w:r>
          </w:p>
        </w:tc>
        <w:tc>
          <w:tcPr>
            <w:tcW w:w="1744" w:type="dxa"/>
            <w:tcBorders>
              <w:top w:val="nil"/>
              <w:left w:val="nil"/>
              <w:bottom w:val="single" w:sz="4" w:space="0" w:color="auto"/>
              <w:right w:val="single" w:sz="4" w:space="0" w:color="auto"/>
            </w:tcBorders>
            <w:shd w:val="clear" w:color="000000" w:fill="FFFFFF"/>
            <w:vAlign w:val="center"/>
            <w:hideMark/>
          </w:tcPr>
          <w:p w14:paraId="34CF7B49" w14:textId="77777777" w:rsidR="00ED7F19" w:rsidRPr="00ED7F19" w:rsidRDefault="00ED7F19" w:rsidP="00C80C8B">
            <w:pPr>
              <w:spacing w:after="0" w:line="240" w:lineRule="auto"/>
              <w:ind w:right="-568" w:firstLine="259"/>
              <w:rPr>
                <w:rFonts w:eastAsia="Times New Roman" w:cs="Calibri"/>
                <w:sz w:val="16"/>
                <w:szCs w:val="16"/>
                <w:lang w:eastAsia="pt-BR"/>
              </w:rPr>
            </w:pPr>
            <w:r w:rsidRPr="00ED7F19">
              <w:rPr>
                <w:rFonts w:eastAsia="Times New Roman" w:cs="Calibri"/>
                <w:sz w:val="16"/>
                <w:szCs w:val="16"/>
                <w:lang w:eastAsia="pt-BR"/>
              </w:rPr>
              <w:t>(11)</w:t>
            </w:r>
          </w:p>
        </w:tc>
      </w:tr>
      <w:tr w:rsidR="00ED7F19" w:rsidRPr="00ED7F19" w14:paraId="5A154113" w14:textId="77777777" w:rsidTr="00673AEA">
        <w:trPr>
          <w:trHeight w:val="263"/>
        </w:trPr>
        <w:tc>
          <w:tcPr>
            <w:tcW w:w="2816" w:type="dxa"/>
            <w:tcBorders>
              <w:top w:val="nil"/>
              <w:left w:val="single" w:sz="4" w:space="0" w:color="auto"/>
              <w:bottom w:val="single" w:sz="4" w:space="0" w:color="auto"/>
              <w:right w:val="single" w:sz="4" w:space="0" w:color="auto"/>
            </w:tcBorders>
            <w:shd w:val="clear" w:color="000000" w:fill="FFFFFF"/>
            <w:vAlign w:val="center"/>
            <w:hideMark/>
          </w:tcPr>
          <w:p w14:paraId="64D90B70" w14:textId="77777777" w:rsidR="00ED7F19" w:rsidRPr="00ED7F19" w:rsidRDefault="00ED7F19" w:rsidP="00C80C8B">
            <w:pPr>
              <w:spacing w:after="0" w:line="240" w:lineRule="auto"/>
              <w:ind w:right="-568" w:firstLine="66"/>
              <w:rPr>
                <w:rFonts w:eastAsia="Times New Roman" w:cs="Calibri"/>
                <w:b/>
                <w:bCs/>
                <w:sz w:val="16"/>
                <w:szCs w:val="16"/>
                <w:lang w:eastAsia="pt-BR"/>
              </w:rPr>
            </w:pPr>
            <w:r w:rsidRPr="00ED7F19">
              <w:rPr>
                <w:rFonts w:eastAsia="Times New Roman" w:cs="Calibri"/>
                <w:b/>
                <w:bCs/>
                <w:sz w:val="16"/>
                <w:szCs w:val="16"/>
                <w:lang w:eastAsia="pt-BR"/>
              </w:rPr>
              <w:t>Dívida Líquida do Setor Público (% do PIB)</w:t>
            </w:r>
          </w:p>
        </w:tc>
        <w:tc>
          <w:tcPr>
            <w:tcW w:w="1148" w:type="dxa"/>
            <w:tcBorders>
              <w:top w:val="nil"/>
              <w:left w:val="nil"/>
              <w:bottom w:val="single" w:sz="4" w:space="0" w:color="auto"/>
              <w:right w:val="single" w:sz="4" w:space="0" w:color="auto"/>
            </w:tcBorders>
            <w:shd w:val="clear" w:color="000000" w:fill="FFFFFF"/>
            <w:vAlign w:val="center"/>
          </w:tcPr>
          <w:p w14:paraId="7598A62B" w14:textId="77777777" w:rsidR="00ED7F19" w:rsidRPr="00ED7F19" w:rsidRDefault="00ED7F19" w:rsidP="00C80C8B">
            <w:pPr>
              <w:spacing w:after="0" w:line="240" w:lineRule="auto"/>
              <w:ind w:right="-568" w:hanging="429"/>
              <w:jc w:val="center"/>
              <w:rPr>
                <w:rFonts w:eastAsia="Times New Roman" w:cs="Calibri"/>
                <w:sz w:val="16"/>
                <w:szCs w:val="16"/>
                <w:lang w:eastAsia="pt-BR"/>
              </w:rPr>
            </w:pPr>
            <w:r w:rsidRPr="00ED7F19">
              <w:rPr>
                <w:rFonts w:eastAsia="Times New Roman" w:cs="Calibri"/>
                <w:sz w:val="16"/>
                <w:szCs w:val="16"/>
                <w:lang w:eastAsia="pt-BR"/>
              </w:rPr>
              <w:t>60,45</w:t>
            </w:r>
          </w:p>
        </w:tc>
        <w:tc>
          <w:tcPr>
            <w:tcW w:w="931" w:type="dxa"/>
            <w:tcBorders>
              <w:top w:val="nil"/>
              <w:left w:val="nil"/>
              <w:bottom w:val="single" w:sz="4" w:space="0" w:color="auto"/>
              <w:right w:val="single" w:sz="4" w:space="0" w:color="auto"/>
            </w:tcBorders>
            <w:shd w:val="clear" w:color="000000" w:fill="FFFFFF"/>
            <w:vAlign w:val="center"/>
          </w:tcPr>
          <w:p w14:paraId="7C2BC1B1" w14:textId="77777777" w:rsidR="00ED7F19" w:rsidRPr="00ED7F19" w:rsidRDefault="00ED7F19" w:rsidP="00C80C8B">
            <w:pPr>
              <w:spacing w:after="0" w:line="240" w:lineRule="auto"/>
              <w:ind w:right="-568" w:firstLine="353"/>
              <w:rPr>
                <w:rFonts w:eastAsia="Times New Roman" w:cs="Calibri"/>
                <w:sz w:val="16"/>
                <w:szCs w:val="16"/>
                <w:lang w:eastAsia="pt-BR"/>
              </w:rPr>
            </w:pPr>
            <w:r w:rsidRPr="00ED7F19">
              <w:rPr>
                <w:rFonts w:eastAsia="Times New Roman" w:cs="Calibri"/>
                <w:sz w:val="16"/>
                <w:szCs w:val="16"/>
                <w:lang w:eastAsia="pt-BR"/>
              </w:rPr>
              <w:t>60,40</w:t>
            </w:r>
          </w:p>
        </w:tc>
        <w:tc>
          <w:tcPr>
            <w:tcW w:w="1356" w:type="dxa"/>
            <w:tcBorders>
              <w:top w:val="nil"/>
              <w:left w:val="nil"/>
              <w:bottom w:val="single" w:sz="4" w:space="0" w:color="auto"/>
              <w:right w:val="single" w:sz="4" w:space="0" w:color="auto"/>
            </w:tcBorders>
            <w:shd w:val="clear" w:color="000000" w:fill="FFFFFF"/>
            <w:vAlign w:val="center"/>
          </w:tcPr>
          <w:p w14:paraId="35B2B018" w14:textId="77777777" w:rsidR="00ED7F19" w:rsidRPr="00ED7F19" w:rsidRDefault="00ED7F19" w:rsidP="00C80C8B">
            <w:pPr>
              <w:spacing w:after="0" w:line="240" w:lineRule="auto"/>
              <w:ind w:right="-568" w:firstLine="414"/>
              <w:rPr>
                <w:rFonts w:eastAsia="Times New Roman" w:cs="Calibri"/>
                <w:sz w:val="16"/>
                <w:szCs w:val="16"/>
                <w:lang w:eastAsia="pt-BR"/>
              </w:rPr>
            </w:pPr>
            <w:r w:rsidRPr="00ED7F19">
              <w:rPr>
                <w:rFonts w:eastAsia="Times New Roman" w:cs="Calibri"/>
                <w:sz w:val="16"/>
                <w:szCs w:val="16"/>
                <w:lang w:eastAsia="pt-BR"/>
              </w:rPr>
              <w:t>60,50</w:t>
            </w:r>
          </w:p>
        </w:tc>
        <w:tc>
          <w:tcPr>
            <w:tcW w:w="1072" w:type="dxa"/>
            <w:tcBorders>
              <w:top w:val="nil"/>
              <w:left w:val="nil"/>
              <w:bottom w:val="single" w:sz="4" w:space="0" w:color="auto"/>
              <w:right w:val="single" w:sz="4" w:space="0" w:color="auto"/>
            </w:tcBorders>
            <w:shd w:val="clear" w:color="000000" w:fill="FFFFFF"/>
            <w:vAlign w:val="center"/>
            <w:hideMark/>
          </w:tcPr>
          <w:p w14:paraId="231A47E3" w14:textId="77777777" w:rsidR="00ED7F19" w:rsidRPr="00ED7F19" w:rsidRDefault="00ED7F19" w:rsidP="00C80C8B">
            <w:pPr>
              <w:spacing w:after="0" w:line="240" w:lineRule="auto"/>
              <w:ind w:right="-568" w:firstLine="480"/>
              <w:rPr>
                <w:rFonts w:eastAsia="Times New Roman" w:cs="Calibri"/>
                <w:color w:val="00B050"/>
                <w:sz w:val="16"/>
                <w:szCs w:val="16"/>
                <w:lang w:eastAsia="pt-BR"/>
              </w:rPr>
            </w:pPr>
            <w:r w:rsidRPr="00ED7F19">
              <w:rPr>
                <w:rFonts w:ascii="Arial" w:eastAsia="Times New Roman" w:hAnsi="Arial" w:cs="Arial"/>
                <w:color w:val="00B050"/>
                <w:sz w:val="16"/>
                <w:szCs w:val="16"/>
                <w:lang w:eastAsia="pt-BR"/>
              </w:rPr>
              <w:t>ꜛ</w:t>
            </w:r>
          </w:p>
        </w:tc>
        <w:tc>
          <w:tcPr>
            <w:tcW w:w="1744" w:type="dxa"/>
            <w:tcBorders>
              <w:top w:val="nil"/>
              <w:left w:val="nil"/>
              <w:bottom w:val="single" w:sz="4" w:space="0" w:color="auto"/>
              <w:right w:val="single" w:sz="4" w:space="0" w:color="auto"/>
            </w:tcBorders>
            <w:shd w:val="clear" w:color="000000" w:fill="FFFFFF"/>
            <w:vAlign w:val="center"/>
            <w:hideMark/>
          </w:tcPr>
          <w:p w14:paraId="424487A9" w14:textId="77777777" w:rsidR="00ED7F19" w:rsidRPr="00ED7F19" w:rsidRDefault="00ED7F19" w:rsidP="00C80C8B">
            <w:pPr>
              <w:spacing w:after="0" w:line="240" w:lineRule="auto"/>
              <w:ind w:right="-568" w:firstLine="259"/>
              <w:rPr>
                <w:rFonts w:eastAsia="Times New Roman" w:cs="Calibri"/>
                <w:sz w:val="16"/>
                <w:szCs w:val="16"/>
                <w:lang w:eastAsia="pt-BR"/>
              </w:rPr>
            </w:pPr>
            <w:r w:rsidRPr="00ED7F19">
              <w:rPr>
                <w:rFonts w:eastAsia="Times New Roman" w:cs="Calibri"/>
                <w:sz w:val="16"/>
                <w:szCs w:val="16"/>
                <w:lang w:eastAsia="pt-BR"/>
              </w:rPr>
              <w:t>(1)</w:t>
            </w:r>
          </w:p>
        </w:tc>
      </w:tr>
      <w:tr w:rsidR="00ED7F19" w:rsidRPr="00ED7F19" w14:paraId="23E2DAA0" w14:textId="77777777" w:rsidTr="00673AEA">
        <w:trPr>
          <w:trHeight w:val="263"/>
        </w:trPr>
        <w:tc>
          <w:tcPr>
            <w:tcW w:w="2816" w:type="dxa"/>
            <w:tcBorders>
              <w:top w:val="nil"/>
              <w:left w:val="single" w:sz="4" w:space="0" w:color="auto"/>
              <w:bottom w:val="single" w:sz="4" w:space="0" w:color="auto"/>
              <w:right w:val="single" w:sz="4" w:space="0" w:color="auto"/>
            </w:tcBorders>
            <w:shd w:val="clear" w:color="000000" w:fill="FFFFFF"/>
            <w:vAlign w:val="center"/>
            <w:hideMark/>
          </w:tcPr>
          <w:p w14:paraId="7C6E5834" w14:textId="77777777" w:rsidR="00ED7F19" w:rsidRPr="00ED7F19" w:rsidRDefault="00ED7F19" w:rsidP="00C80C8B">
            <w:pPr>
              <w:spacing w:after="0" w:line="240" w:lineRule="auto"/>
              <w:ind w:right="-568" w:firstLine="66"/>
              <w:rPr>
                <w:rFonts w:eastAsia="Times New Roman" w:cs="Calibri"/>
                <w:b/>
                <w:bCs/>
                <w:sz w:val="16"/>
                <w:szCs w:val="16"/>
                <w:lang w:eastAsia="pt-BR"/>
              </w:rPr>
            </w:pPr>
            <w:r w:rsidRPr="00ED7F19">
              <w:rPr>
                <w:rFonts w:eastAsia="Times New Roman" w:cs="Calibri"/>
                <w:b/>
                <w:bCs/>
                <w:sz w:val="16"/>
                <w:szCs w:val="16"/>
                <w:lang w:eastAsia="pt-BR"/>
              </w:rPr>
              <w:t>Resultado Primário (% do PIB)</w:t>
            </w:r>
          </w:p>
        </w:tc>
        <w:tc>
          <w:tcPr>
            <w:tcW w:w="1148" w:type="dxa"/>
            <w:tcBorders>
              <w:top w:val="nil"/>
              <w:left w:val="nil"/>
              <w:bottom w:val="single" w:sz="4" w:space="0" w:color="auto"/>
              <w:right w:val="single" w:sz="4" w:space="0" w:color="auto"/>
            </w:tcBorders>
            <w:shd w:val="clear" w:color="000000" w:fill="FFFFFF"/>
            <w:vAlign w:val="center"/>
          </w:tcPr>
          <w:p w14:paraId="303ACF15" w14:textId="77777777" w:rsidR="00ED7F19" w:rsidRPr="00ED7F19" w:rsidRDefault="00ED7F19" w:rsidP="00C80C8B">
            <w:pPr>
              <w:spacing w:after="0" w:line="240" w:lineRule="auto"/>
              <w:ind w:right="-568" w:hanging="429"/>
              <w:jc w:val="center"/>
              <w:rPr>
                <w:rFonts w:eastAsia="Times New Roman" w:cs="Calibri"/>
                <w:sz w:val="16"/>
                <w:szCs w:val="16"/>
                <w:lang w:eastAsia="pt-BR"/>
              </w:rPr>
            </w:pPr>
            <w:r w:rsidRPr="00ED7F19">
              <w:rPr>
                <w:rFonts w:eastAsia="Times New Roman" w:cs="Calibri"/>
                <w:sz w:val="16"/>
                <w:szCs w:val="16"/>
                <w:lang w:eastAsia="pt-BR"/>
              </w:rPr>
              <w:t>-1,00</w:t>
            </w:r>
          </w:p>
        </w:tc>
        <w:tc>
          <w:tcPr>
            <w:tcW w:w="931" w:type="dxa"/>
            <w:tcBorders>
              <w:top w:val="nil"/>
              <w:left w:val="nil"/>
              <w:bottom w:val="single" w:sz="4" w:space="0" w:color="auto"/>
              <w:right w:val="single" w:sz="4" w:space="0" w:color="auto"/>
            </w:tcBorders>
            <w:shd w:val="clear" w:color="000000" w:fill="FFFFFF"/>
            <w:vAlign w:val="center"/>
          </w:tcPr>
          <w:p w14:paraId="5B272CC6" w14:textId="77777777" w:rsidR="00ED7F19" w:rsidRPr="00ED7F19" w:rsidRDefault="00ED7F19" w:rsidP="00C80C8B">
            <w:pPr>
              <w:spacing w:after="0" w:line="240" w:lineRule="auto"/>
              <w:ind w:right="-568" w:firstLine="353"/>
              <w:rPr>
                <w:rFonts w:eastAsia="Times New Roman" w:cs="Calibri"/>
                <w:sz w:val="16"/>
                <w:szCs w:val="16"/>
                <w:lang w:eastAsia="pt-BR"/>
              </w:rPr>
            </w:pPr>
            <w:r w:rsidRPr="00ED7F19">
              <w:rPr>
                <w:rFonts w:eastAsia="Times New Roman" w:cs="Calibri"/>
                <w:sz w:val="16"/>
                <w:szCs w:val="16"/>
                <w:lang w:eastAsia="pt-BR"/>
              </w:rPr>
              <w:t>-1,00</w:t>
            </w:r>
          </w:p>
        </w:tc>
        <w:tc>
          <w:tcPr>
            <w:tcW w:w="1356" w:type="dxa"/>
            <w:tcBorders>
              <w:top w:val="nil"/>
              <w:left w:val="nil"/>
              <w:bottom w:val="single" w:sz="4" w:space="0" w:color="auto"/>
              <w:right w:val="single" w:sz="4" w:space="0" w:color="auto"/>
            </w:tcBorders>
            <w:shd w:val="clear" w:color="000000" w:fill="FFFFFF"/>
            <w:vAlign w:val="center"/>
          </w:tcPr>
          <w:p w14:paraId="08ED8119" w14:textId="77777777" w:rsidR="00ED7F19" w:rsidRPr="00ED7F19" w:rsidRDefault="00ED7F19" w:rsidP="00C80C8B">
            <w:pPr>
              <w:spacing w:after="0" w:line="240" w:lineRule="auto"/>
              <w:ind w:right="-568" w:firstLine="414"/>
              <w:rPr>
                <w:rFonts w:eastAsia="Times New Roman" w:cs="Calibri"/>
                <w:sz w:val="16"/>
                <w:szCs w:val="16"/>
                <w:lang w:eastAsia="pt-BR"/>
              </w:rPr>
            </w:pPr>
            <w:r w:rsidRPr="00ED7F19">
              <w:rPr>
                <w:rFonts w:eastAsia="Times New Roman" w:cs="Calibri"/>
                <w:sz w:val="16"/>
                <w:szCs w:val="16"/>
                <w:lang w:eastAsia="pt-BR"/>
              </w:rPr>
              <w:t>-1,10</w:t>
            </w:r>
          </w:p>
        </w:tc>
        <w:tc>
          <w:tcPr>
            <w:tcW w:w="1072" w:type="dxa"/>
            <w:tcBorders>
              <w:top w:val="nil"/>
              <w:left w:val="nil"/>
              <w:bottom w:val="single" w:sz="4" w:space="0" w:color="auto"/>
              <w:right w:val="single" w:sz="4" w:space="0" w:color="auto"/>
            </w:tcBorders>
            <w:shd w:val="clear" w:color="000000" w:fill="FFFFFF"/>
            <w:vAlign w:val="center"/>
            <w:hideMark/>
          </w:tcPr>
          <w:p w14:paraId="1A7E5568" w14:textId="77777777" w:rsidR="00ED7F19" w:rsidRPr="00ED7F19" w:rsidRDefault="00ED7F19" w:rsidP="00C80C8B">
            <w:pPr>
              <w:spacing w:after="0" w:line="240" w:lineRule="auto"/>
              <w:ind w:right="-568" w:firstLine="480"/>
              <w:rPr>
                <w:rFonts w:eastAsia="Times New Roman" w:cs="Calibri"/>
                <w:sz w:val="16"/>
                <w:szCs w:val="16"/>
                <w:lang w:eastAsia="pt-BR"/>
              </w:rPr>
            </w:pPr>
            <w:r w:rsidRPr="00ED7F19">
              <w:rPr>
                <w:rFonts w:ascii="Arial" w:eastAsia="Times New Roman" w:hAnsi="Arial" w:cs="Arial"/>
                <w:color w:val="FF0000"/>
                <w:sz w:val="16"/>
                <w:szCs w:val="16"/>
                <w:lang w:eastAsia="pt-BR"/>
              </w:rPr>
              <w:t>ꜜ</w:t>
            </w:r>
          </w:p>
        </w:tc>
        <w:tc>
          <w:tcPr>
            <w:tcW w:w="1744" w:type="dxa"/>
            <w:tcBorders>
              <w:top w:val="nil"/>
              <w:left w:val="nil"/>
              <w:bottom w:val="single" w:sz="4" w:space="0" w:color="auto"/>
              <w:right w:val="single" w:sz="4" w:space="0" w:color="auto"/>
            </w:tcBorders>
            <w:shd w:val="clear" w:color="000000" w:fill="FFFFFF"/>
            <w:vAlign w:val="center"/>
            <w:hideMark/>
          </w:tcPr>
          <w:p w14:paraId="7B9F2888" w14:textId="77777777" w:rsidR="00ED7F19" w:rsidRPr="00ED7F19" w:rsidRDefault="00ED7F19" w:rsidP="00C80C8B">
            <w:pPr>
              <w:spacing w:after="0" w:line="240" w:lineRule="auto"/>
              <w:ind w:right="-568" w:firstLine="259"/>
              <w:rPr>
                <w:rFonts w:eastAsia="Times New Roman" w:cs="Calibri"/>
                <w:sz w:val="16"/>
                <w:szCs w:val="16"/>
                <w:lang w:eastAsia="pt-BR"/>
              </w:rPr>
            </w:pPr>
            <w:r w:rsidRPr="00ED7F19">
              <w:rPr>
                <w:rFonts w:eastAsia="Times New Roman" w:cs="Calibri"/>
                <w:sz w:val="16"/>
                <w:szCs w:val="16"/>
                <w:lang w:eastAsia="pt-BR"/>
              </w:rPr>
              <w:t>(1)</w:t>
            </w:r>
          </w:p>
        </w:tc>
      </w:tr>
      <w:tr w:rsidR="00ED7F19" w:rsidRPr="00ED7F19" w14:paraId="727A22BC" w14:textId="77777777" w:rsidTr="00673AEA">
        <w:trPr>
          <w:trHeight w:val="263"/>
        </w:trPr>
        <w:tc>
          <w:tcPr>
            <w:tcW w:w="2816" w:type="dxa"/>
            <w:tcBorders>
              <w:top w:val="nil"/>
              <w:left w:val="single" w:sz="4" w:space="0" w:color="auto"/>
              <w:bottom w:val="single" w:sz="4" w:space="0" w:color="auto"/>
              <w:right w:val="single" w:sz="4" w:space="0" w:color="auto"/>
            </w:tcBorders>
            <w:shd w:val="clear" w:color="000000" w:fill="FFFFFF"/>
            <w:vAlign w:val="center"/>
            <w:hideMark/>
          </w:tcPr>
          <w:p w14:paraId="50E9F148" w14:textId="77777777" w:rsidR="00ED7F19" w:rsidRPr="00ED7F19" w:rsidRDefault="00ED7F19" w:rsidP="00C80C8B">
            <w:pPr>
              <w:spacing w:after="0" w:line="240" w:lineRule="auto"/>
              <w:ind w:right="-568" w:firstLine="66"/>
              <w:rPr>
                <w:rFonts w:eastAsia="Times New Roman" w:cs="Calibri"/>
                <w:b/>
                <w:bCs/>
                <w:sz w:val="16"/>
                <w:szCs w:val="16"/>
                <w:lang w:eastAsia="pt-BR"/>
              </w:rPr>
            </w:pPr>
            <w:r w:rsidRPr="00ED7F19">
              <w:rPr>
                <w:rFonts w:eastAsia="Times New Roman" w:cs="Calibri"/>
                <w:b/>
                <w:bCs/>
                <w:sz w:val="16"/>
                <w:szCs w:val="16"/>
                <w:lang w:eastAsia="pt-BR"/>
              </w:rPr>
              <w:t>Resultado Nominal (% do PIB)</w:t>
            </w:r>
          </w:p>
        </w:tc>
        <w:tc>
          <w:tcPr>
            <w:tcW w:w="1148" w:type="dxa"/>
            <w:tcBorders>
              <w:top w:val="nil"/>
              <w:left w:val="nil"/>
              <w:bottom w:val="single" w:sz="4" w:space="0" w:color="auto"/>
              <w:right w:val="single" w:sz="4" w:space="0" w:color="auto"/>
            </w:tcBorders>
            <w:shd w:val="clear" w:color="000000" w:fill="FFFFFF"/>
            <w:vAlign w:val="center"/>
          </w:tcPr>
          <w:p w14:paraId="39DA4A19" w14:textId="77777777" w:rsidR="00ED7F19" w:rsidRPr="00ED7F19" w:rsidRDefault="00ED7F19" w:rsidP="00C80C8B">
            <w:pPr>
              <w:spacing w:after="0" w:line="240" w:lineRule="auto"/>
              <w:ind w:right="-568" w:hanging="429"/>
              <w:jc w:val="center"/>
              <w:rPr>
                <w:rFonts w:eastAsia="Times New Roman" w:cs="Calibri"/>
                <w:sz w:val="16"/>
                <w:szCs w:val="16"/>
                <w:lang w:eastAsia="pt-BR"/>
              </w:rPr>
            </w:pPr>
            <w:r w:rsidRPr="00ED7F19">
              <w:rPr>
                <w:rFonts w:eastAsia="Times New Roman" w:cs="Calibri"/>
                <w:sz w:val="16"/>
                <w:szCs w:val="16"/>
                <w:lang w:eastAsia="pt-BR"/>
              </w:rPr>
              <w:t>-7,45</w:t>
            </w:r>
          </w:p>
        </w:tc>
        <w:tc>
          <w:tcPr>
            <w:tcW w:w="931" w:type="dxa"/>
            <w:tcBorders>
              <w:top w:val="nil"/>
              <w:left w:val="nil"/>
              <w:bottom w:val="single" w:sz="4" w:space="0" w:color="auto"/>
              <w:right w:val="single" w:sz="4" w:space="0" w:color="auto"/>
            </w:tcBorders>
            <w:shd w:val="clear" w:color="000000" w:fill="FFFFFF"/>
            <w:vAlign w:val="center"/>
          </w:tcPr>
          <w:p w14:paraId="06596CFD" w14:textId="77777777" w:rsidR="00ED7F19" w:rsidRPr="00ED7F19" w:rsidRDefault="00ED7F19" w:rsidP="00C80C8B">
            <w:pPr>
              <w:spacing w:after="0" w:line="240" w:lineRule="auto"/>
              <w:ind w:right="-568" w:firstLine="353"/>
              <w:rPr>
                <w:rFonts w:eastAsia="Times New Roman" w:cs="Calibri"/>
                <w:sz w:val="16"/>
                <w:szCs w:val="16"/>
                <w:lang w:eastAsia="pt-BR"/>
              </w:rPr>
            </w:pPr>
            <w:r w:rsidRPr="00ED7F19">
              <w:rPr>
                <w:rFonts w:eastAsia="Times New Roman" w:cs="Calibri"/>
                <w:sz w:val="16"/>
                <w:szCs w:val="16"/>
                <w:lang w:eastAsia="pt-BR"/>
              </w:rPr>
              <w:t>-7,40</w:t>
            </w:r>
          </w:p>
        </w:tc>
        <w:tc>
          <w:tcPr>
            <w:tcW w:w="1356" w:type="dxa"/>
            <w:tcBorders>
              <w:top w:val="nil"/>
              <w:left w:val="nil"/>
              <w:bottom w:val="single" w:sz="4" w:space="0" w:color="auto"/>
              <w:right w:val="single" w:sz="4" w:space="0" w:color="auto"/>
            </w:tcBorders>
            <w:shd w:val="clear" w:color="000000" w:fill="FFFFFF"/>
            <w:vAlign w:val="center"/>
          </w:tcPr>
          <w:p w14:paraId="2FB6D976" w14:textId="77777777" w:rsidR="00ED7F19" w:rsidRPr="00ED7F19" w:rsidRDefault="00ED7F19" w:rsidP="00C80C8B">
            <w:pPr>
              <w:spacing w:after="0" w:line="240" w:lineRule="auto"/>
              <w:ind w:right="-568" w:firstLine="414"/>
              <w:rPr>
                <w:rFonts w:eastAsia="Times New Roman" w:cs="Calibri"/>
                <w:sz w:val="16"/>
                <w:szCs w:val="16"/>
                <w:lang w:eastAsia="pt-BR"/>
              </w:rPr>
            </w:pPr>
            <w:r w:rsidRPr="00ED7F19">
              <w:rPr>
                <w:rFonts w:eastAsia="Times New Roman" w:cs="Calibri"/>
                <w:sz w:val="16"/>
                <w:szCs w:val="16"/>
                <w:lang w:eastAsia="pt-BR"/>
              </w:rPr>
              <w:t>-7,40</w:t>
            </w:r>
          </w:p>
        </w:tc>
        <w:tc>
          <w:tcPr>
            <w:tcW w:w="1072" w:type="dxa"/>
            <w:tcBorders>
              <w:top w:val="nil"/>
              <w:left w:val="nil"/>
              <w:bottom w:val="single" w:sz="4" w:space="0" w:color="auto"/>
              <w:right w:val="single" w:sz="4" w:space="0" w:color="auto"/>
            </w:tcBorders>
            <w:shd w:val="clear" w:color="000000" w:fill="FFFFFF"/>
            <w:vAlign w:val="center"/>
            <w:hideMark/>
          </w:tcPr>
          <w:p w14:paraId="14C15C83" w14:textId="77777777" w:rsidR="00ED7F19" w:rsidRPr="00ED7F19" w:rsidRDefault="00ED7F19" w:rsidP="00C80C8B">
            <w:pPr>
              <w:spacing w:after="0" w:line="240" w:lineRule="auto"/>
              <w:ind w:right="-568" w:firstLine="480"/>
              <w:rPr>
                <w:rFonts w:eastAsia="Times New Roman" w:cs="Calibri"/>
                <w:color w:val="00B050"/>
                <w:sz w:val="16"/>
                <w:szCs w:val="16"/>
                <w:lang w:eastAsia="pt-BR"/>
              </w:rPr>
            </w:pPr>
            <w:r w:rsidRPr="00ED7F19">
              <w:rPr>
                <w:rFonts w:eastAsia="Times New Roman" w:cs="Calibri"/>
                <w:sz w:val="16"/>
                <w:szCs w:val="16"/>
                <w:lang w:eastAsia="pt-BR"/>
              </w:rPr>
              <w:t>=</w:t>
            </w:r>
          </w:p>
        </w:tc>
        <w:tc>
          <w:tcPr>
            <w:tcW w:w="1744" w:type="dxa"/>
            <w:tcBorders>
              <w:top w:val="nil"/>
              <w:left w:val="nil"/>
              <w:bottom w:val="single" w:sz="4" w:space="0" w:color="auto"/>
              <w:right w:val="single" w:sz="4" w:space="0" w:color="auto"/>
            </w:tcBorders>
            <w:shd w:val="clear" w:color="000000" w:fill="FFFFFF"/>
            <w:vAlign w:val="center"/>
            <w:hideMark/>
          </w:tcPr>
          <w:p w14:paraId="5906BC7E" w14:textId="77777777" w:rsidR="00ED7F19" w:rsidRPr="00ED7F19" w:rsidRDefault="00ED7F19" w:rsidP="00C80C8B">
            <w:pPr>
              <w:spacing w:after="0" w:line="240" w:lineRule="auto"/>
              <w:ind w:right="-568" w:firstLine="259"/>
              <w:rPr>
                <w:rFonts w:eastAsia="Times New Roman" w:cs="Calibri"/>
                <w:sz w:val="16"/>
                <w:szCs w:val="16"/>
                <w:lang w:eastAsia="pt-BR"/>
              </w:rPr>
            </w:pPr>
            <w:r w:rsidRPr="00ED7F19">
              <w:rPr>
                <w:rFonts w:eastAsia="Times New Roman" w:cs="Calibri"/>
                <w:sz w:val="16"/>
                <w:szCs w:val="16"/>
                <w:lang w:eastAsia="pt-BR"/>
              </w:rPr>
              <w:t>(3)</w:t>
            </w:r>
          </w:p>
        </w:tc>
      </w:tr>
    </w:tbl>
    <w:p w14:paraId="15768D14" w14:textId="77777777" w:rsidR="00ED7F19" w:rsidRDefault="00ED7F19" w:rsidP="00C80C8B">
      <w:pPr>
        <w:autoSpaceDE w:val="0"/>
        <w:autoSpaceDN w:val="0"/>
        <w:adjustRightInd w:val="0"/>
        <w:spacing w:after="0" w:line="360" w:lineRule="auto"/>
        <w:ind w:right="-568" w:firstLine="851"/>
        <w:jc w:val="both"/>
        <w:rPr>
          <w:rFonts w:asciiTheme="minorHAnsi" w:hAnsiTheme="minorHAnsi" w:cstheme="minorHAnsi"/>
          <w:sz w:val="24"/>
          <w:szCs w:val="24"/>
          <w:highlight w:val="red"/>
          <w:lang w:eastAsia="pt-BR"/>
        </w:rPr>
      </w:pPr>
    </w:p>
    <w:tbl>
      <w:tblPr>
        <w:tblW w:w="9086" w:type="dxa"/>
        <w:tblCellMar>
          <w:left w:w="70" w:type="dxa"/>
          <w:right w:w="70" w:type="dxa"/>
        </w:tblCellMar>
        <w:tblLook w:val="04A0" w:firstRow="1" w:lastRow="0" w:firstColumn="1" w:lastColumn="0" w:noHBand="0" w:noVBand="1"/>
      </w:tblPr>
      <w:tblGrid>
        <w:gridCol w:w="2689"/>
        <w:gridCol w:w="1356"/>
        <w:gridCol w:w="1356"/>
        <w:gridCol w:w="1356"/>
        <w:gridCol w:w="1072"/>
        <w:gridCol w:w="1251"/>
        <w:gridCol w:w="6"/>
      </w:tblGrid>
      <w:tr w:rsidR="00ED7F19" w:rsidRPr="00ED7F19" w14:paraId="142C64C5" w14:textId="77777777" w:rsidTr="00EC39F2">
        <w:trPr>
          <w:trHeight w:val="255"/>
        </w:trPr>
        <w:tc>
          <w:tcPr>
            <w:tcW w:w="9086" w:type="dxa"/>
            <w:gridSpan w:val="7"/>
            <w:tcBorders>
              <w:top w:val="single" w:sz="4" w:space="0" w:color="auto"/>
              <w:left w:val="single" w:sz="4" w:space="0" w:color="auto"/>
              <w:bottom w:val="single" w:sz="4" w:space="0" w:color="auto"/>
              <w:right w:val="single" w:sz="4" w:space="0" w:color="auto"/>
            </w:tcBorders>
            <w:shd w:val="clear" w:color="auto" w:fill="1F3864" w:themeFill="accent1" w:themeFillShade="80"/>
            <w:vAlign w:val="bottom"/>
            <w:hideMark/>
          </w:tcPr>
          <w:p w14:paraId="0781A891" w14:textId="77777777" w:rsidR="00ED7F19" w:rsidRPr="00ED7F19" w:rsidRDefault="00ED7F19" w:rsidP="00C80C8B">
            <w:pPr>
              <w:spacing w:after="0" w:line="240" w:lineRule="auto"/>
              <w:ind w:right="-568" w:firstLine="851"/>
              <w:jc w:val="center"/>
              <w:rPr>
                <w:rFonts w:eastAsia="Times New Roman" w:cs="Calibri"/>
                <w:b/>
                <w:bCs/>
                <w:sz w:val="16"/>
                <w:szCs w:val="16"/>
                <w:lang w:eastAsia="pt-BR"/>
              </w:rPr>
            </w:pPr>
            <w:r w:rsidRPr="00ED7F19">
              <w:rPr>
                <w:rFonts w:eastAsia="Times New Roman" w:cs="Calibri"/>
                <w:b/>
                <w:bCs/>
                <w:sz w:val="16"/>
                <w:szCs w:val="16"/>
                <w:lang w:eastAsia="pt-BR"/>
              </w:rPr>
              <w:t>2024</w:t>
            </w:r>
          </w:p>
        </w:tc>
      </w:tr>
      <w:tr w:rsidR="00EC39F2" w:rsidRPr="00ED7F19" w14:paraId="2F9F1E5F" w14:textId="77777777" w:rsidTr="00EC39F2">
        <w:trPr>
          <w:gridAfter w:val="1"/>
          <w:wAfter w:w="6" w:type="dxa"/>
          <w:trHeight w:val="399"/>
        </w:trPr>
        <w:tc>
          <w:tcPr>
            <w:tcW w:w="2689" w:type="dxa"/>
            <w:tcBorders>
              <w:top w:val="nil"/>
              <w:left w:val="single" w:sz="4" w:space="0" w:color="auto"/>
              <w:bottom w:val="single" w:sz="4" w:space="0" w:color="auto"/>
              <w:right w:val="single" w:sz="4" w:space="0" w:color="auto"/>
            </w:tcBorders>
            <w:shd w:val="clear" w:color="auto" w:fill="1F3864" w:themeFill="accent1" w:themeFillShade="80"/>
            <w:vAlign w:val="center"/>
            <w:hideMark/>
          </w:tcPr>
          <w:p w14:paraId="0622A5D9" w14:textId="77777777" w:rsidR="00ED7F19" w:rsidRPr="00ED7F19" w:rsidRDefault="00ED7F19" w:rsidP="00C80C8B">
            <w:pPr>
              <w:spacing w:after="0" w:line="240" w:lineRule="auto"/>
              <w:ind w:right="-568" w:firstLine="851"/>
              <w:rPr>
                <w:rFonts w:eastAsia="Times New Roman" w:cs="Calibri"/>
                <w:b/>
                <w:bCs/>
                <w:sz w:val="16"/>
                <w:szCs w:val="16"/>
                <w:lang w:eastAsia="pt-BR"/>
              </w:rPr>
            </w:pPr>
            <w:r w:rsidRPr="00ED7F19">
              <w:rPr>
                <w:rFonts w:eastAsia="Times New Roman" w:cs="Calibri"/>
                <w:b/>
                <w:bCs/>
                <w:sz w:val="16"/>
                <w:szCs w:val="16"/>
                <w:lang w:eastAsia="pt-BR"/>
              </w:rPr>
              <w:t>Parâmetros</w:t>
            </w:r>
          </w:p>
        </w:tc>
        <w:tc>
          <w:tcPr>
            <w:tcW w:w="1356" w:type="dxa"/>
            <w:tcBorders>
              <w:top w:val="nil"/>
              <w:left w:val="nil"/>
              <w:bottom w:val="single" w:sz="4" w:space="0" w:color="auto"/>
              <w:right w:val="single" w:sz="4" w:space="0" w:color="auto"/>
            </w:tcBorders>
            <w:shd w:val="clear" w:color="auto" w:fill="1F3864" w:themeFill="accent1" w:themeFillShade="80"/>
            <w:vAlign w:val="center"/>
            <w:hideMark/>
          </w:tcPr>
          <w:p w14:paraId="7A4125DC" w14:textId="77777777" w:rsidR="00ED7F19" w:rsidRPr="00ED7F19" w:rsidRDefault="00ED7F19" w:rsidP="00C80C8B">
            <w:pPr>
              <w:spacing w:after="0" w:line="240" w:lineRule="auto"/>
              <w:ind w:right="-568" w:firstLine="176"/>
              <w:rPr>
                <w:rFonts w:eastAsia="Times New Roman" w:cs="Calibri"/>
                <w:b/>
                <w:bCs/>
                <w:sz w:val="16"/>
                <w:szCs w:val="16"/>
                <w:lang w:eastAsia="pt-BR"/>
              </w:rPr>
            </w:pPr>
            <w:r w:rsidRPr="00ED7F19">
              <w:rPr>
                <w:rFonts w:eastAsia="Times New Roman" w:cs="Calibri"/>
                <w:b/>
                <w:bCs/>
                <w:sz w:val="16"/>
                <w:szCs w:val="16"/>
                <w:lang w:eastAsia="pt-BR"/>
              </w:rPr>
              <w:t>Há 4 semanas</w:t>
            </w:r>
          </w:p>
        </w:tc>
        <w:tc>
          <w:tcPr>
            <w:tcW w:w="1356" w:type="dxa"/>
            <w:tcBorders>
              <w:top w:val="nil"/>
              <w:left w:val="nil"/>
              <w:bottom w:val="single" w:sz="4" w:space="0" w:color="auto"/>
              <w:right w:val="single" w:sz="4" w:space="0" w:color="auto"/>
            </w:tcBorders>
            <w:shd w:val="clear" w:color="auto" w:fill="1F3864" w:themeFill="accent1" w:themeFillShade="80"/>
            <w:vAlign w:val="center"/>
            <w:hideMark/>
          </w:tcPr>
          <w:p w14:paraId="30565352" w14:textId="77777777" w:rsidR="00ED7F19" w:rsidRPr="00ED7F19" w:rsidRDefault="00ED7F19" w:rsidP="00C80C8B">
            <w:pPr>
              <w:spacing w:after="0" w:line="240" w:lineRule="auto"/>
              <w:ind w:right="-568" w:firstLine="236"/>
              <w:rPr>
                <w:rFonts w:eastAsia="Times New Roman" w:cs="Calibri"/>
                <w:b/>
                <w:bCs/>
                <w:sz w:val="16"/>
                <w:szCs w:val="16"/>
                <w:lang w:eastAsia="pt-BR"/>
              </w:rPr>
            </w:pPr>
            <w:r w:rsidRPr="00ED7F19">
              <w:rPr>
                <w:rFonts w:eastAsia="Times New Roman" w:cs="Calibri"/>
                <w:b/>
                <w:bCs/>
                <w:sz w:val="16"/>
                <w:szCs w:val="16"/>
                <w:lang w:eastAsia="pt-BR"/>
              </w:rPr>
              <w:t>Há 1 semana</w:t>
            </w:r>
          </w:p>
        </w:tc>
        <w:tc>
          <w:tcPr>
            <w:tcW w:w="1356" w:type="dxa"/>
            <w:tcBorders>
              <w:top w:val="nil"/>
              <w:left w:val="nil"/>
              <w:bottom w:val="single" w:sz="4" w:space="0" w:color="auto"/>
              <w:right w:val="single" w:sz="4" w:space="0" w:color="auto"/>
            </w:tcBorders>
            <w:shd w:val="clear" w:color="auto" w:fill="1F3864" w:themeFill="accent1" w:themeFillShade="80"/>
            <w:vAlign w:val="center"/>
            <w:hideMark/>
          </w:tcPr>
          <w:p w14:paraId="7AC747ED" w14:textId="77777777" w:rsidR="00ED7F19" w:rsidRPr="00ED7F19" w:rsidRDefault="00ED7F19" w:rsidP="00C80C8B">
            <w:pPr>
              <w:spacing w:after="0" w:line="240" w:lineRule="auto"/>
              <w:ind w:right="-568" w:firstLine="303"/>
              <w:rPr>
                <w:rFonts w:eastAsia="Times New Roman" w:cs="Calibri"/>
                <w:b/>
                <w:bCs/>
                <w:sz w:val="16"/>
                <w:szCs w:val="16"/>
                <w:lang w:eastAsia="pt-BR"/>
              </w:rPr>
            </w:pPr>
            <w:r w:rsidRPr="00ED7F19">
              <w:rPr>
                <w:rFonts w:eastAsia="Times New Roman" w:cs="Calibri"/>
                <w:b/>
                <w:bCs/>
                <w:sz w:val="16"/>
                <w:szCs w:val="16"/>
                <w:lang w:eastAsia="pt-BR"/>
              </w:rPr>
              <w:t>Hoje</w:t>
            </w:r>
          </w:p>
        </w:tc>
        <w:tc>
          <w:tcPr>
            <w:tcW w:w="2323" w:type="dxa"/>
            <w:gridSpan w:val="2"/>
            <w:tcBorders>
              <w:top w:val="single" w:sz="4" w:space="0" w:color="auto"/>
              <w:left w:val="nil"/>
              <w:bottom w:val="single" w:sz="4" w:space="0" w:color="auto"/>
              <w:right w:val="single" w:sz="4" w:space="0" w:color="auto"/>
            </w:tcBorders>
            <w:shd w:val="clear" w:color="auto" w:fill="1F3864" w:themeFill="accent1" w:themeFillShade="80"/>
            <w:vAlign w:val="center"/>
            <w:hideMark/>
          </w:tcPr>
          <w:p w14:paraId="4A1F58D1" w14:textId="77777777" w:rsidR="00ED7F19" w:rsidRPr="00ED7F19" w:rsidRDefault="00ED7F19" w:rsidP="00C80C8B">
            <w:pPr>
              <w:spacing w:after="0" w:line="240" w:lineRule="auto"/>
              <w:ind w:right="-568" w:firstLine="221"/>
              <w:rPr>
                <w:rFonts w:eastAsia="Times New Roman" w:cs="Calibri"/>
                <w:b/>
                <w:bCs/>
                <w:sz w:val="16"/>
                <w:szCs w:val="16"/>
                <w:lang w:eastAsia="pt-BR"/>
              </w:rPr>
            </w:pPr>
            <w:r w:rsidRPr="00ED7F19">
              <w:rPr>
                <w:rFonts w:eastAsia="Times New Roman" w:cs="Calibri"/>
                <w:b/>
                <w:bCs/>
                <w:sz w:val="16"/>
                <w:szCs w:val="16"/>
                <w:lang w:eastAsia="pt-BR"/>
              </w:rPr>
              <w:t>Comportamento Semanal</w:t>
            </w:r>
          </w:p>
        </w:tc>
      </w:tr>
      <w:tr w:rsidR="00ED7F19" w:rsidRPr="00ED7F19" w14:paraId="079EF606" w14:textId="77777777" w:rsidTr="00C80C8B">
        <w:trPr>
          <w:gridAfter w:val="1"/>
          <w:wAfter w:w="6" w:type="dxa"/>
          <w:trHeight w:val="25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065CF131"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IPCA (variação %)</w:t>
            </w:r>
          </w:p>
        </w:tc>
        <w:tc>
          <w:tcPr>
            <w:tcW w:w="1356" w:type="dxa"/>
            <w:tcBorders>
              <w:top w:val="nil"/>
              <w:left w:val="nil"/>
              <w:bottom w:val="single" w:sz="4" w:space="0" w:color="auto"/>
              <w:right w:val="single" w:sz="4" w:space="0" w:color="auto"/>
            </w:tcBorders>
            <w:shd w:val="clear" w:color="000000" w:fill="FFFFFF"/>
            <w:vAlign w:val="center"/>
          </w:tcPr>
          <w:p w14:paraId="369D8DA3"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3,88</w:t>
            </w:r>
          </w:p>
        </w:tc>
        <w:tc>
          <w:tcPr>
            <w:tcW w:w="1356" w:type="dxa"/>
            <w:tcBorders>
              <w:top w:val="nil"/>
              <w:left w:val="nil"/>
              <w:bottom w:val="single" w:sz="4" w:space="0" w:color="auto"/>
              <w:right w:val="single" w:sz="4" w:space="0" w:color="auto"/>
            </w:tcBorders>
            <w:shd w:val="clear" w:color="000000" w:fill="FFFFFF"/>
            <w:vAlign w:val="center"/>
          </w:tcPr>
          <w:p w14:paraId="554F7FD4"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3,86</w:t>
            </w:r>
          </w:p>
        </w:tc>
        <w:tc>
          <w:tcPr>
            <w:tcW w:w="1356" w:type="dxa"/>
            <w:tcBorders>
              <w:top w:val="nil"/>
              <w:left w:val="nil"/>
              <w:bottom w:val="single" w:sz="4" w:space="0" w:color="auto"/>
              <w:right w:val="single" w:sz="4" w:space="0" w:color="auto"/>
            </w:tcBorders>
            <w:shd w:val="clear" w:color="000000" w:fill="FFFFFF"/>
            <w:vAlign w:val="center"/>
          </w:tcPr>
          <w:p w14:paraId="65E7CB25"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3,87</w:t>
            </w:r>
          </w:p>
        </w:tc>
        <w:tc>
          <w:tcPr>
            <w:tcW w:w="1072" w:type="dxa"/>
            <w:tcBorders>
              <w:top w:val="nil"/>
              <w:left w:val="nil"/>
              <w:bottom w:val="single" w:sz="4" w:space="0" w:color="auto"/>
              <w:right w:val="single" w:sz="4" w:space="0" w:color="auto"/>
            </w:tcBorders>
            <w:shd w:val="clear" w:color="000000" w:fill="FFFFFF"/>
            <w:vAlign w:val="center"/>
            <w:hideMark/>
          </w:tcPr>
          <w:p w14:paraId="08693033" w14:textId="77777777" w:rsidR="00ED7F19" w:rsidRPr="00ED7F19" w:rsidRDefault="00ED7F19" w:rsidP="00C80C8B">
            <w:pPr>
              <w:spacing w:after="0" w:line="240" w:lineRule="auto"/>
              <w:ind w:right="-568" w:firstLine="851"/>
              <w:rPr>
                <w:rFonts w:eastAsia="Times New Roman" w:cs="Calibri"/>
                <w:color w:val="00B050"/>
                <w:sz w:val="16"/>
                <w:szCs w:val="16"/>
                <w:lang w:eastAsia="pt-BR"/>
              </w:rPr>
            </w:pPr>
            <w:r w:rsidRPr="00ED7F19">
              <w:rPr>
                <w:rFonts w:ascii="Arial" w:eastAsia="Times New Roman" w:hAnsi="Arial" w:cs="Arial"/>
                <w:color w:val="00B050"/>
                <w:sz w:val="16"/>
                <w:szCs w:val="16"/>
                <w:lang w:eastAsia="pt-BR"/>
              </w:rPr>
              <w:t>ꜛ</w:t>
            </w:r>
          </w:p>
        </w:tc>
        <w:tc>
          <w:tcPr>
            <w:tcW w:w="1251" w:type="dxa"/>
            <w:tcBorders>
              <w:top w:val="nil"/>
              <w:left w:val="nil"/>
              <w:bottom w:val="single" w:sz="4" w:space="0" w:color="auto"/>
              <w:right w:val="single" w:sz="4" w:space="0" w:color="auto"/>
            </w:tcBorders>
            <w:shd w:val="clear" w:color="000000" w:fill="FFFFFF"/>
            <w:vAlign w:val="center"/>
            <w:hideMark/>
          </w:tcPr>
          <w:p w14:paraId="466ABB44"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(1)</w:t>
            </w:r>
          </w:p>
        </w:tc>
      </w:tr>
      <w:tr w:rsidR="00ED7F19" w:rsidRPr="00ED7F19" w14:paraId="56DD7A29" w14:textId="77777777" w:rsidTr="00C80C8B">
        <w:trPr>
          <w:gridAfter w:val="1"/>
          <w:wAfter w:w="6" w:type="dxa"/>
          <w:trHeight w:val="25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7851013E"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PIB (variação % sobre o ano anterior)</w:t>
            </w:r>
          </w:p>
        </w:tc>
        <w:tc>
          <w:tcPr>
            <w:tcW w:w="1356" w:type="dxa"/>
            <w:tcBorders>
              <w:top w:val="nil"/>
              <w:left w:val="nil"/>
              <w:bottom w:val="single" w:sz="4" w:space="0" w:color="auto"/>
              <w:right w:val="single" w:sz="4" w:space="0" w:color="auto"/>
            </w:tcBorders>
            <w:shd w:val="clear" w:color="000000" w:fill="FFFFFF"/>
            <w:vAlign w:val="center"/>
          </w:tcPr>
          <w:p w14:paraId="56A9A926"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1,32</w:t>
            </w:r>
          </w:p>
        </w:tc>
        <w:tc>
          <w:tcPr>
            <w:tcW w:w="1356" w:type="dxa"/>
            <w:tcBorders>
              <w:top w:val="nil"/>
              <w:left w:val="nil"/>
              <w:bottom w:val="single" w:sz="4" w:space="0" w:color="auto"/>
              <w:right w:val="single" w:sz="4" w:space="0" w:color="auto"/>
            </w:tcBorders>
            <w:shd w:val="clear" w:color="000000" w:fill="FFFFFF"/>
            <w:vAlign w:val="center"/>
          </w:tcPr>
          <w:p w14:paraId="45CAF9EF"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1,50</w:t>
            </w:r>
          </w:p>
        </w:tc>
        <w:tc>
          <w:tcPr>
            <w:tcW w:w="1356" w:type="dxa"/>
            <w:tcBorders>
              <w:top w:val="nil"/>
              <w:left w:val="nil"/>
              <w:bottom w:val="single" w:sz="4" w:space="0" w:color="auto"/>
              <w:right w:val="single" w:sz="4" w:space="0" w:color="auto"/>
            </w:tcBorders>
            <w:shd w:val="clear" w:color="000000" w:fill="FFFFFF"/>
            <w:vAlign w:val="center"/>
          </w:tcPr>
          <w:p w14:paraId="16E32B94"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1,50</w:t>
            </w:r>
          </w:p>
        </w:tc>
        <w:tc>
          <w:tcPr>
            <w:tcW w:w="1072" w:type="dxa"/>
            <w:tcBorders>
              <w:top w:val="nil"/>
              <w:left w:val="nil"/>
              <w:bottom w:val="single" w:sz="4" w:space="0" w:color="auto"/>
              <w:right w:val="single" w:sz="4" w:space="0" w:color="auto"/>
            </w:tcBorders>
            <w:shd w:val="clear" w:color="000000" w:fill="FFFFFF"/>
            <w:vAlign w:val="center"/>
            <w:hideMark/>
          </w:tcPr>
          <w:p w14:paraId="240B99DE" w14:textId="77777777" w:rsidR="00ED7F19" w:rsidRPr="00ED7F19" w:rsidRDefault="00ED7F19" w:rsidP="00C80C8B">
            <w:pPr>
              <w:spacing w:after="0" w:line="240" w:lineRule="auto"/>
              <w:ind w:right="-568" w:firstLine="851"/>
              <w:rPr>
                <w:rFonts w:eastAsia="Times New Roman" w:cs="Calibri"/>
                <w:color w:val="FF0000"/>
                <w:sz w:val="16"/>
                <w:szCs w:val="16"/>
                <w:lang w:eastAsia="pt-BR"/>
              </w:rPr>
            </w:pPr>
            <w:r w:rsidRPr="00ED7F19">
              <w:rPr>
                <w:rFonts w:eastAsia="Times New Roman" w:cs="Calibri"/>
                <w:sz w:val="16"/>
                <w:szCs w:val="16"/>
                <w:lang w:eastAsia="pt-BR"/>
              </w:rPr>
              <w:t>=</w:t>
            </w:r>
          </w:p>
        </w:tc>
        <w:tc>
          <w:tcPr>
            <w:tcW w:w="1251" w:type="dxa"/>
            <w:tcBorders>
              <w:top w:val="nil"/>
              <w:left w:val="nil"/>
              <w:bottom w:val="single" w:sz="4" w:space="0" w:color="auto"/>
              <w:right w:val="single" w:sz="4" w:space="0" w:color="auto"/>
            </w:tcBorders>
            <w:shd w:val="clear" w:color="000000" w:fill="FFFFFF"/>
            <w:vAlign w:val="center"/>
            <w:hideMark/>
          </w:tcPr>
          <w:p w14:paraId="6C1AAFF7"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(2)</w:t>
            </w:r>
          </w:p>
        </w:tc>
      </w:tr>
      <w:tr w:rsidR="00ED7F19" w:rsidRPr="00ED7F19" w14:paraId="010F14E7" w14:textId="77777777" w:rsidTr="00C80C8B">
        <w:trPr>
          <w:gridAfter w:val="1"/>
          <w:wAfter w:w="6" w:type="dxa"/>
          <w:trHeight w:val="25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09A4523C"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Câmbio (R$/US$)</w:t>
            </w:r>
          </w:p>
        </w:tc>
        <w:tc>
          <w:tcPr>
            <w:tcW w:w="1356" w:type="dxa"/>
            <w:tcBorders>
              <w:top w:val="nil"/>
              <w:left w:val="nil"/>
              <w:bottom w:val="single" w:sz="4" w:space="0" w:color="auto"/>
              <w:right w:val="single" w:sz="4" w:space="0" w:color="auto"/>
            </w:tcBorders>
            <w:shd w:val="clear" w:color="000000" w:fill="FFFFFF"/>
            <w:vAlign w:val="center"/>
          </w:tcPr>
          <w:p w14:paraId="7FF38B61"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5,00</w:t>
            </w:r>
          </w:p>
        </w:tc>
        <w:tc>
          <w:tcPr>
            <w:tcW w:w="1356" w:type="dxa"/>
            <w:tcBorders>
              <w:top w:val="nil"/>
              <w:left w:val="nil"/>
              <w:bottom w:val="single" w:sz="4" w:space="0" w:color="auto"/>
              <w:right w:val="single" w:sz="4" w:space="0" w:color="auto"/>
            </w:tcBorders>
            <w:shd w:val="clear" w:color="000000" w:fill="FFFFFF"/>
            <w:vAlign w:val="center"/>
          </w:tcPr>
          <w:p w14:paraId="3D37024C"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5,00</w:t>
            </w:r>
          </w:p>
        </w:tc>
        <w:tc>
          <w:tcPr>
            <w:tcW w:w="1356" w:type="dxa"/>
            <w:tcBorders>
              <w:top w:val="nil"/>
              <w:left w:val="nil"/>
              <w:bottom w:val="single" w:sz="4" w:space="0" w:color="auto"/>
              <w:right w:val="single" w:sz="4" w:space="0" w:color="auto"/>
            </w:tcBorders>
            <w:shd w:val="clear" w:color="000000" w:fill="FFFFFF"/>
            <w:vAlign w:val="center"/>
          </w:tcPr>
          <w:p w14:paraId="025FF368"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5,02</w:t>
            </w:r>
          </w:p>
        </w:tc>
        <w:tc>
          <w:tcPr>
            <w:tcW w:w="1072" w:type="dxa"/>
            <w:tcBorders>
              <w:top w:val="nil"/>
              <w:left w:val="nil"/>
              <w:bottom w:val="single" w:sz="4" w:space="0" w:color="auto"/>
              <w:right w:val="single" w:sz="4" w:space="0" w:color="auto"/>
            </w:tcBorders>
            <w:shd w:val="clear" w:color="000000" w:fill="FFFFFF"/>
            <w:vAlign w:val="center"/>
            <w:hideMark/>
          </w:tcPr>
          <w:p w14:paraId="36098F6F" w14:textId="77777777" w:rsidR="00ED7F19" w:rsidRPr="00ED7F19" w:rsidRDefault="00ED7F19" w:rsidP="00C80C8B">
            <w:pPr>
              <w:spacing w:after="0" w:line="240" w:lineRule="auto"/>
              <w:ind w:right="-568" w:firstLine="851"/>
              <w:rPr>
                <w:rFonts w:eastAsia="Times New Roman" w:cs="Calibri"/>
                <w:color w:val="00B050"/>
                <w:sz w:val="16"/>
                <w:szCs w:val="16"/>
                <w:lang w:eastAsia="pt-BR"/>
              </w:rPr>
            </w:pPr>
            <w:r w:rsidRPr="00ED7F19">
              <w:rPr>
                <w:rFonts w:ascii="Arial" w:eastAsia="Times New Roman" w:hAnsi="Arial" w:cs="Arial"/>
                <w:color w:val="00B050"/>
                <w:sz w:val="16"/>
                <w:szCs w:val="16"/>
                <w:lang w:eastAsia="pt-BR"/>
              </w:rPr>
              <w:t>ꜛ</w:t>
            </w:r>
          </w:p>
        </w:tc>
        <w:tc>
          <w:tcPr>
            <w:tcW w:w="1251" w:type="dxa"/>
            <w:tcBorders>
              <w:top w:val="nil"/>
              <w:left w:val="nil"/>
              <w:bottom w:val="single" w:sz="4" w:space="0" w:color="auto"/>
              <w:right w:val="single" w:sz="4" w:space="0" w:color="auto"/>
            </w:tcBorders>
            <w:shd w:val="clear" w:color="000000" w:fill="FFFFFF"/>
            <w:vAlign w:val="center"/>
            <w:hideMark/>
          </w:tcPr>
          <w:p w14:paraId="27D06713"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(1)</w:t>
            </w:r>
          </w:p>
        </w:tc>
      </w:tr>
      <w:tr w:rsidR="00ED7F19" w:rsidRPr="00ED7F19" w14:paraId="44452278" w14:textId="77777777" w:rsidTr="00C80C8B">
        <w:trPr>
          <w:gridAfter w:val="1"/>
          <w:wAfter w:w="6" w:type="dxa"/>
          <w:trHeight w:val="25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3AA1A2F5"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Selic (% a.a)</w:t>
            </w:r>
          </w:p>
        </w:tc>
        <w:tc>
          <w:tcPr>
            <w:tcW w:w="1356" w:type="dxa"/>
            <w:tcBorders>
              <w:top w:val="nil"/>
              <w:left w:val="nil"/>
              <w:bottom w:val="single" w:sz="4" w:space="0" w:color="auto"/>
              <w:right w:val="single" w:sz="4" w:space="0" w:color="auto"/>
            </w:tcBorders>
            <w:shd w:val="clear" w:color="000000" w:fill="FFFFFF"/>
            <w:vAlign w:val="center"/>
          </w:tcPr>
          <w:p w14:paraId="65F55DF4"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9,00</w:t>
            </w:r>
          </w:p>
        </w:tc>
        <w:tc>
          <w:tcPr>
            <w:tcW w:w="1356" w:type="dxa"/>
            <w:tcBorders>
              <w:top w:val="nil"/>
              <w:left w:val="nil"/>
              <w:bottom w:val="single" w:sz="4" w:space="0" w:color="auto"/>
              <w:right w:val="single" w:sz="4" w:space="0" w:color="auto"/>
            </w:tcBorders>
            <w:shd w:val="clear" w:color="000000" w:fill="FFFFFF"/>
            <w:vAlign w:val="center"/>
          </w:tcPr>
          <w:p w14:paraId="112253DA"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9,00</w:t>
            </w:r>
          </w:p>
        </w:tc>
        <w:tc>
          <w:tcPr>
            <w:tcW w:w="1356" w:type="dxa"/>
            <w:tcBorders>
              <w:top w:val="nil"/>
              <w:left w:val="nil"/>
              <w:bottom w:val="single" w:sz="4" w:space="0" w:color="auto"/>
              <w:right w:val="single" w:sz="4" w:space="0" w:color="auto"/>
            </w:tcBorders>
            <w:shd w:val="clear" w:color="000000" w:fill="FFFFFF"/>
            <w:vAlign w:val="center"/>
          </w:tcPr>
          <w:p w14:paraId="6CF78F7C"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9,00</w:t>
            </w:r>
          </w:p>
        </w:tc>
        <w:tc>
          <w:tcPr>
            <w:tcW w:w="1072" w:type="dxa"/>
            <w:tcBorders>
              <w:top w:val="nil"/>
              <w:left w:val="nil"/>
              <w:bottom w:val="single" w:sz="4" w:space="0" w:color="auto"/>
              <w:right w:val="single" w:sz="4" w:space="0" w:color="auto"/>
            </w:tcBorders>
            <w:shd w:val="clear" w:color="000000" w:fill="FFFFFF"/>
            <w:vAlign w:val="center"/>
            <w:hideMark/>
          </w:tcPr>
          <w:p w14:paraId="70487836" w14:textId="77777777" w:rsidR="00ED7F19" w:rsidRPr="00ED7F19" w:rsidRDefault="00ED7F19" w:rsidP="00C80C8B">
            <w:pPr>
              <w:spacing w:after="0" w:line="240" w:lineRule="auto"/>
              <w:ind w:right="-568" w:firstLine="851"/>
              <w:rPr>
                <w:rFonts w:eastAsia="Times New Roman" w:cs="Calibri"/>
                <w:color w:val="00B050"/>
                <w:sz w:val="16"/>
                <w:szCs w:val="16"/>
                <w:lang w:eastAsia="pt-BR"/>
              </w:rPr>
            </w:pPr>
            <w:r w:rsidRPr="00ED7F19">
              <w:rPr>
                <w:rFonts w:eastAsia="Times New Roman" w:cs="Calibri"/>
                <w:sz w:val="16"/>
                <w:szCs w:val="16"/>
                <w:lang w:eastAsia="pt-BR"/>
              </w:rPr>
              <w:t>=</w:t>
            </w:r>
          </w:p>
        </w:tc>
        <w:tc>
          <w:tcPr>
            <w:tcW w:w="1251" w:type="dxa"/>
            <w:tcBorders>
              <w:top w:val="nil"/>
              <w:left w:val="nil"/>
              <w:bottom w:val="single" w:sz="4" w:space="0" w:color="auto"/>
              <w:right w:val="single" w:sz="4" w:space="0" w:color="auto"/>
            </w:tcBorders>
            <w:shd w:val="clear" w:color="000000" w:fill="FFFFFF"/>
            <w:vAlign w:val="center"/>
            <w:hideMark/>
          </w:tcPr>
          <w:p w14:paraId="2738ACAD"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(8)</w:t>
            </w:r>
          </w:p>
        </w:tc>
      </w:tr>
      <w:tr w:rsidR="00ED7F19" w:rsidRPr="00ED7F19" w14:paraId="3524EACD" w14:textId="77777777" w:rsidTr="00C80C8B">
        <w:trPr>
          <w:gridAfter w:val="1"/>
          <w:wAfter w:w="6" w:type="dxa"/>
          <w:trHeight w:val="25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2B482339"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IGP-M (variação %)</w:t>
            </w:r>
          </w:p>
        </w:tc>
        <w:tc>
          <w:tcPr>
            <w:tcW w:w="1356" w:type="dxa"/>
            <w:tcBorders>
              <w:top w:val="nil"/>
              <w:left w:val="nil"/>
              <w:bottom w:val="single" w:sz="4" w:space="0" w:color="auto"/>
              <w:right w:val="single" w:sz="4" w:space="0" w:color="auto"/>
            </w:tcBorders>
            <w:shd w:val="clear" w:color="000000" w:fill="FFFFFF"/>
            <w:vAlign w:val="center"/>
          </w:tcPr>
          <w:p w14:paraId="097BFC14"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4,00</w:t>
            </w:r>
          </w:p>
        </w:tc>
        <w:tc>
          <w:tcPr>
            <w:tcW w:w="1356" w:type="dxa"/>
            <w:tcBorders>
              <w:top w:val="nil"/>
              <w:left w:val="nil"/>
              <w:bottom w:val="single" w:sz="4" w:space="0" w:color="auto"/>
              <w:right w:val="single" w:sz="4" w:space="0" w:color="auto"/>
            </w:tcBorders>
            <w:shd w:val="clear" w:color="000000" w:fill="FFFFFF"/>
            <w:vAlign w:val="center"/>
          </w:tcPr>
          <w:p w14:paraId="748251D8"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3,96</w:t>
            </w:r>
          </w:p>
        </w:tc>
        <w:tc>
          <w:tcPr>
            <w:tcW w:w="1356" w:type="dxa"/>
            <w:tcBorders>
              <w:top w:val="nil"/>
              <w:left w:val="nil"/>
              <w:bottom w:val="single" w:sz="4" w:space="0" w:color="auto"/>
              <w:right w:val="single" w:sz="4" w:space="0" w:color="auto"/>
            </w:tcBorders>
            <w:shd w:val="clear" w:color="000000" w:fill="FFFFFF"/>
            <w:vAlign w:val="center"/>
          </w:tcPr>
          <w:p w14:paraId="468ACFB8"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3,96</w:t>
            </w:r>
          </w:p>
        </w:tc>
        <w:tc>
          <w:tcPr>
            <w:tcW w:w="1072" w:type="dxa"/>
            <w:tcBorders>
              <w:top w:val="nil"/>
              <w:left w:val="nil"/>
              <w:bottom w:val="single" w:sz="4" w:space="0" w:color="auto"/>
              <w:right w:val="single" w:sz="4" w:space="0" w:color="auto"/>
            </w:tcBorders>
            <w:shd w:val="clear" w:color="000000" w:fill="FFFFFF"/>
            <w:vAlign w:val="center"/>
            <w:hideMark/>
          </w:tcPr>
          <w:p w14:paraId="564F903F" w14:textId="77777777" w:rsidR="00ED7F19" w:rsidRPr="00ED7F19" w:rsidRDefault="00ED7F19" w:rsidP="00C80C8B">
            <w:pPr>
              <w:spacing w:after="0" w:line="240" w:lineRule="auto"/>
              <w:ind w:right="-568" w:firstLine="851"/>
              <w:rPr>
                <w:rFonts w:eastAsia="Times New Roman" w:cs="Calibri"/>
                <w:color w:val="00B050"/>
                <w:sz w:val="16"/>
                <w:szCs w:val="16"/>
                <w:lang w:eastAsia="pt-BR"/>
              </w:rPr>
            </w:pPr>
            <w:r w:rsidRPr="00ED7F19">
              <w:rPr>
                <w:rFonts w:eastAsia="Times New Roman" w:cs="Calibri"/>
                <w:sz w:val="16"/>
                <w:szCs w:val="16"/>
                <w:lang w:eastAsia="pt-BR"/>
              </w:rPr>
              <w:t>=</w:t>
            </w:r>
          </w:p>
        </w:tc>
        <w:tc>
          <w:tcPr>
            <w:tcW w:w="1251" w:type="dxa"/>
            <w:tcBorders>
              <w:top w:val="nil"/>
              <w:left w:val="nil"/>
              <w:bottom w:val="single" w:sz="4" w:space="0" w:color="auto"/>
              <w:right w:val="single" w:sz="4" w:space="0" w:color="auto"/>
            </w:tcBorders>
            <w:shd w:val="clear" w:color="000000" w:fill="FFFFFF"/>
            <w:vAlign w:val="center"/>
            <w:hideMark/>
          </w:tcPr>
          <w:p w14:paraId="455DA8E3"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(1)</w:t>
            </w:r>
          </w:p>
        </w:tc>
      </w:tr>
      <w:tr w:rsidR="00ED7F19" w:rsidRPr="00ED7F19" w14:paraId="1A57C83F" w14:textId="77777777" w:rsidTr="00C80C8B">
        <w:trPr>
          <w:gridAfter w:val="1"/>
          <w:wAfter w:w="6" w:type="dxa"/>
          <w:trHeight w:val="25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6450883F"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IPCA Administrados (variação %)</w:t>
            </w:r>
          </w:p>
        </w:tc>
        <w:tc>
          <w:tcPr>
            <w:tcW w:w="1356" w:type="dxa"/>
            <w:tcBorders>
              <w:top w:val="nil"/>
              <w:left w:val="nil"/>
              <w:bottom w:val="single" w:sz="4" w:space="0" w:color="auto"/>
              <w:right w:val="single" w:sz="4" w:space="0" w:color="auto"/>
            </w:tcBorders>
            <w:shd w:val="clear" w:color="000000" w:fill="FFFFFF"/>
            <w:vAlign w:val="center"/>
          </w:tcPr>
          <w:p w14:paraId="0087C78F"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4,28</w:t>
            </w:r>
          </w:p>
        </w:tc>
        <w:tc>
          <w:tcPr>
            <w:tcW w:w="1356" w:type="dxa"/>
            <w:tcBorders>
              <w:top w:val="nil"/>
              <w:left w:val="nil"/>
              <w:bottom w:val="single" w:sz="4" w:space="0" w:color="auto"/>
              <w:right w:val="single" w:sz="4" w:space="0" w:color="auto"/>
            </w:tcBorders>
            <w:shd w:val="clear" w:color="000000" w:fill="FFFFFF"/>
            <w:vAlign w:val="center"/>
          </w:tcPr>
          <w:p w14:paraId="73FF7749"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4,34</w:t>
            </w:r>
          </w:p>
        </w:tc>
        <w:tc>
          <w:tcPr>
            <w:tcW w:w="1356" w:type="dxa"/>
            <w:tcBorders>
              <w:top w:val="nil"/>
              <w:left w:val="nil"/>
              <w:bottom w:val="single" w:sz="4" w:space="0" w:color="auto"/>
              <w:right w:val="single" w:sz="4" w:space="0" w:color="auto"/>
            </w:tcBorders>
            <w:shd w:val="clear" w:color="000000" w:fill="FFFFFF"/>
            <w:vAlign w:val="center"/>
          </w:tcPr>
          <w:p w14:paraId="2A903085"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4,31</w:t>
            </w:r>
          </w:p>
        </w:tc>
        <w:tc>
          <w:tcPr>
            <w:tcW w:w="1072" w:type="dxa"/>
            <w:tcBorders>
              <w:top w:val="nil"/>
              <w:left w:val="nil"/>
              <w:bottom w:val="single" w:sz="4" w:space="0" w:color="auto"/>
              <w:right w:val="single" w:sz="4" w:space="0" w:color="auto"/>
            </w:tcBorders>
            <w:shd w:val="clear" w:color="000000" w:fill="FFFFFF"/>
            <w:vAlign w:val="center"/>
            <w:hideMark/>
          </w:tcPr>
          <w:p w14:paraId="78A22D36" w14:textId="77777777" w:rsidR="00ED7F19" w:rsidRPr="00ED7F19" w:rsidRDefault="00ED7F19" w:rsidP="00C80C8B">
            <w:pPr>
              <w:spacing w:after="0" w:line="240" w:lineRule="auto"/>
              <w:ind w:right="-568" w:firstLine="851"/>
              <w:rPr>
                <w:rFonts w:eastAsia="Times New Roman" w:cs="Calibri"/>
                <w:color w:val="00B050"/>
                <w:sz w:val="16"/>
                <w:szCs w:val="16"/>
                <w:lang w:eastAsia="pt-BR"/>
              </w:rPr>
            </w:pPr>
            <w:r w:rsidRPr="00ED7F19">
              <w:rPr>
                <w:rFonts w:ascii="Arial" w:eastAsia="Times New Roman" w:hAnsi="Arial" w:cs="Arial"/>
                <w:color w:val="FF0000"/>
                <w:sz w:val="16"/>
                <w:szCs w:val="16"/>
                <w:lang w:eastAsia="pt-BR"/>
              </w:rPr>
              <w:t>ꜜ</w:t>
            </w:r>
          </w:p>
        </w:tc>
        <w:tc>
          <w:tcPr>
            <w:tcW w:w="1251" w:type="dxa"/>
            <w:tcBorders>
              <w:top w:val="nil"/>
              <w:left w:val="nil"/>
              <w:bottom w:val="single" w:sz="4" w:space="0" w:color="auto"/>
              <w:right w:val="single" w:sz="4" w:space="0" w:color="auto"/>
            </w:tcBorders>
            <w:shd w:val="clear" w:color="000000" w:fill="FFFFFF"/>
            <w:vAlign w:val="center"/>
            <w:hideMark/>
          </w:tcPr>
          <w:p w14:paraId="00AD7B17"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(1)</w:t>
            </w:r>
          </w:p>
        </w:tc>
      </w:tr>
      <w:tr w:rsidR="00ED7F19" w:rsidRPr="00ED7F19" w14:paraId="0E00290A" w14:textId="77777777" w:rsidTr="00C80C8B">
        <w:trPr>
          <w:gridAfter w:val="1"/>
          <w:wAfter w:w="6" w:type="dxa"/>
          <w:trHeight w:val="25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34A9D6C8"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Conta Corrente (US$ bilhões)</w:t>
            </w:r>
          </w:p>
        </w:tc>
        <w:tc>
          <w:tcPr>
            <w:tcW w:w="1356" w:type="dxa"/>
            <w:tcBorders>
              <w:top w:val="nil"/>
              <w:left w:val="nil"/>
              <w:bottom w:val="single" w:sz="4" w:space="0" w:color="auto"/>
              <w:right w:val="single" w:sz="4" w:space="0" w:color="auto"/>
            </w:tcBorders>
            <w:shd w:val="clear" w:color="000000" w:fill="FFFFFF"/>
            <w:vAlign w:val="center"/>
          </w:tcPr>
          <w:p w14:paraId="72A176FB" w14:textId="43884B0E" w:rsidR="00ED7F19" w:rsidRPr="00ED7F19" w:rsidRDefault="00D62FAB" w:rsidP="00D62FAB">
            <w:pPr>
              <w:spacing w:after="0" w:line="240" w:lineRule="auto"/>
              <w:ind w:right="-568"/>
              <w:rPr>
                <w:rFonts w:eastAsia="Times New Roman" w:cs="Calibri"/>
                <w:sz w:val="16"/>
                <w:szCs w:val="16"/>
                <w:lang w:eastAsia="pt-BR"/>
              </w:rPr>
            </w:pPr>
            <w:r>
              <w:rPr>
                <w:rFonts w:eastAsia="Times New Roman" w:cs="Calibri"/>
                <w:sz w:val="16"/>
                <w:szCs w:val="16"/>
                <w:lang w:eastAsia="pt-BR"/>
              </w:rPr>
              <w:t xml:space="preserve">                      </w:t>
            </w:r>
            <w:r w:rsidR="00ED7F19" w:rsidRPr="00ED7F19">
              <w:rPr>
                <w:rFonts w:eastAsia="Times New Roman" w:cs="Calibri"/>
                <w:sz w:val="16"/>
                <w:szCs w:val="16"/>
                <w:lang w:eastAsia="pt-BR"/>
              </w:rPr>
              <w:t>-50,20</w:t>
            </w:r>
          </w:p>
        </w:tc>
        <w:tc>
          <w:tcPr>
            <w:tcW w:w="1356" w:type="dxa"/>
            <w:tcBorders>
              <w:top w:val="nil"/>
              <w:left w:val="nil"/>
              <w:bottom w:val="single" w:sz="4" w:space="0" w:color="auto"/>
              <w:right w:val="single" w:sz="4" w:space="0" w:color="auto"/>
            </w:tcBorders>
            <w:shd w:val="clear" w:color="000000" w:fill="FFFFFF"/>
            <w:vAlign w:val="center"/>
          </w:tcPr>
          <w:p w14:paraId="375E65D8"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-51,30</w:t>
            </w:r>
          </w:p>
        </w:tc>
        <w:tc>
          <w:tcPr>
            <w:tcW w:w="1356" w:type="dxa"/>
            <w:tcBorders>
              <w:top w:val="nil"/>
              <w:left w:val="nil"/>
              <w:bottom w:val="single" w:sz="4" w:space="0" w:color="auto"/>
              <w:right w:val="single" w:sz="4" w:space="0" w:color="auto"/>
            </w:tcBorders>
            <w:shd w:val="clear" w:color="000000" w:fill="FFFFFF"/>
            <w:vAlign w:val="center"/>
          </w:tcPr>
          <w:p w14:paraId="3B75EBDB"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-51,35</w:t>
            </w:r>
          </w:p>
        </w:tc>
        <w:tc>
          <w:tcPr>
            <w:tcW w:w="1072" w:type="dxa"/>
            <w:tcBorders>
              <w:top w:val="nil"/>
              <w:left w:val="nil"/>
              <w:bottom w:val="single" w:sz="4" w:space="0" w:color="auto"/>
              <w:right w:val="single" w:sz="4" w:space="0" w:color="auto"/>
            </w:tcBorders>
            <w:shd w:val="clear" w:color="000000" w:fill="FFFFFF"/>
            <w:vAlign w:val="center"/>
            <w:hideMark/>
          </w:tcPr>
          <w:p w14:paraId="35E608FA"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ascii="Arial" w:eastAsia="Times New Roman" w:hAnsi="Arial" w:cs="Arial"/>
                <w:color w:val="FF0000"/>
                <w:sz w:val="16"/>
                <w:szCs w:val="16"/>
                <w:lang w:eastAsia="pt-BR"/>
              </w:rPr>
              <w:t>ꜜ</w:t>
            </w:r>
          </w:p>
        </w:tc>
        <w:tc>
          <w:tcPr>
            <w:tcW w:w="1251" w:type="dxa"/>
            <w:tcBorders>
              <w:top w:val="nil"/>
              <w:left w:val="nil"/>
              <w:bottom w:val="single" w:sz="4" w:space="0" w:color="auto"/>
              <w:right w:val="single" w:sz="4" w:space="0" w:color="auto"/>
            </w:tcBorders>
            <w:shd w:val="clear" w:color="000000" w:fill="FFFFFF"/>
            <w:vAlign w:val="center"/>
            <w:hideMark/>
          </w:tcPr>
          <w:p w14:paraId="54F31F2F"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(2)</w:t>
            </w:r>
          </w:p>
        </w:tc>
      </w:tr>
      <w:tr w:rsidR="00ED7F19" w:rsidRPr="00ED7F19" w14:paraId="612FCB72" w14:textId="77777777" w:rsidTr="00C80C8B">
        <w:trPr>
          <w:gridAfter w:val="1"/>
          <w:wAfter w:w="6" w:type="dxa"/>
          <w:trHeight w:val="25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37332BBE"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Balança Comercial (US$ bilhões)</w:t>
            </w:r>
          </w:p>
        </w:tc>
        <w:tc>
          <w:tcPr>
            <w:tcW w:w="1356" w:type="dxa"/>
            <w:tcBorders>
              <w:top w:val="nil"/>
              <w:left w:val="nil"/>
              <w:bottom w:val="single" w:sz="4" w:space="0" w:color="auto"/>
              <w:right w:val="single" w:sz="4" w:space="0" w:color="auto"/>
            </w:tcBorders>
            <w:shd w:val="clear" w:color="000000" w:fill="FFFFFF"/>
            <w:vAlign w:val="center"/>
          </w:tcPr>
          <w:p w14:paraId="4121D9F6"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60,00</w:t>
            </w:r>
          </w:p>
        </w:tc>
        <w:tc>
          <w:tcPr>
            <w:tcW w:w="1356" w:type="dxa"/>
            <w:tcBorders>
              <w:top w:val="nil"/>
              <w:left w:val="nil"/>
              <w:bottom w:val="single" w:sz="4" w:space="0" w:color="auto"/>
              <w:right w:val="single" w:sz="4" w:space="0" w:color="auto"/>
            </w:tcBorders>
            <w:shd w:val="clear" w:color="000000" w:fill="FFFFFF"/>
            <w:vAlign w:val="center"/>
          </w:tcPr>
          <w:p w14:paraId="4AB38636"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60,95</w:t>
            </w:r>
          </w:p>
        </w:tc>
        <w:tc>
          <w:tcPr>
            <w:tcW w:w="1356" w:type="dxa"/>
            <w:tcBorders>
              <w:top w:val="nil"/>
              <w:left w:val="nil"/>
              <w:bottom w:val="single" w:sz="4" w:space="0" w:color="auto"/>
              <w:right w:val="single" w:sz="4" w:space="0" w:color="auto"/>
            </w:tcBorders>
            <w:shd w:val="clear" w:color="000000" w:fill="FFFFFF"/>
            <w:vAlign w:val="center"/>
          </w:tcPr>
          <w:p w14:paraId="6430A945"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60,95</w:t>
            </w:r>
          </w:p>
        </w:tc>
        <w:tc>
          <w:tcPr>
            <w:tcW w:w="1072" w:type="dxa"/>
            <w:tcBorders>
              <w:top w:val="nil"/>
              <w:left w:val="nil"/>
              <w:bottom w:val="single" w:sz="4" w:space="0" w:color="auto"/>
              <w:right w:val="single" w:sz="4" w:space="0" w:color="auto"/>
            </w:tcBorders>
            <w:shd w:val="clear" w:color="000000" w:fill="FFFFFF"/>
            <w:vAlign w:val="center"/>
            <w:hideMark/>
          </w:tcPr>
          <w:p w14:paraId="39DAAC3C"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w:t>
            </w:r>
          </w:p>
        </w:tc>
        <w:tc>
          <w:tcPr>
            <w:tcW w:w="1251" w:type="dxa"/>
            <w:tcBorders>
              <w:top w:val="nil"/>
              <w:left w:val="nil"/>
              <w:bottom w:val="single" w:sz="4" w:space="0" w:color="auto"/>
              <w:right w:val="single" w:sz="4" w:space="0" w:color="auto"/>
            </w:tcBorders>
            <w:shd w:val="clear" w:color="000000" w:fill="FFFFFF"/>
            <w:vAlign w:val="center"/>
            <w:hideMark/>
          </w:tcPr>
          <w:p w14:paraId="150E506B"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(1)</w:t>
            </w:r>
          </w:p>
        </w:tc>
      </w:tr>
      <w:tr w:rsidR="00ED7F19" w:rsidRPr="00ED7F19" w14:paraId="77978BDA" w14:textId="77777777" w:rsidTr="00C80C8B">
        <w:trPr>
          <w:gridAfter w:val="1"/>
          <w:wAfter w:w="6" w:type="dxa"/>
          <w:trHeight w:val="25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019CC58F"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Investimento Direto no País (US$ bilhões)</w:t>
            </w:r>
          </w:p>
        </w:tc>
        <w:tc>
          <w:tcPr>
            <w:tcW w:w="1356" w:type="dxa"/>
            <w:tcBorders>
              <w:top w:val="nil"/>
              <w:left w:val="nil"/>
              <w:bottom w:val="single" w:sz="4" w:space="0" w:color="auto"/>
              <w:right w:val="single" w:sz="4" w:space="0" w:color="auto"/>
            </w:tcBorders>
            <w:shd w:val="clear" w:color="000000" w:fill="FFFFFF"/>
            <w:vAlign w:val="center"/>
          </w:tcPr>
          <w:p w14:paraId="7653BD10"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80,00</w:t>
            </w:r>
          </w:p>
        </w:tc>
        <w:tc>
          <w:tcPr>
            <w:tcW w:w="1356" w:type="dxa"/>
            <w:tcBorders>
              <w:top w:val="nil"/>
              <w:left w:val="nil"/>
              <w:bottom w:val="single" w:sz="4" w:space="0" w:color="auto"/>
              <w:right w:val="single" w:sz="4" w:space="0" w:color="auto"/>
            </w:tcBorders>
            <w:shd w:val="clear" w:color="000000" w:fill="FFFFFF"/>
            <w:vAlign w:val="center"/>
          </w:tcPr>
          <w:p w14:paraId="0588FEE9"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80,00</w:t>
            </w:r>
          </w:p>
        </w:tc>
        <w:tc>
          <w:tcPr>
            <w:tcW w:w="1356" w:type="dxa"/>
            <w:tcBorders>
              <w:top w:val="nil"/>
              <w:left w:val="nil"/>
              <w:bottom w:val="single" w:sz="4" w:space="0" w:color="auto"/>
              <w:right w:val="single" w:sz="4" w:space="0" w:color="auto"/>
            </w:tcBorders>
            <w:shd w:val="clear" w:color="000000" w:fill="FFFFFF"/>
            <w:vAlign w:val="center"/>
          </w:tcPr>
          <w:p w14:paraId="73A7E577"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80,00</w:t>
            </w:r>
          </w:p>
        </w:tc>
        <w:tc>
          <w:tcPr>
            <w:tcW w:w="1072" w:type="dxa"/>
            <w:tcBorders>
              <w:top w:val="nil"/>
              <w:left w:val="nil"/>
              <w:bottom w:val="single" w:sz="4" w:space="0" w:color="auto"/>
              <w:right w:val="single" w:sz="4" w:space="0" w:color="auto"/>
            </w:tcBorders>
            <w:shd w:val="clear" w:color="000000" w:fill="FFFFFF"/>
            <w:vAlign w:val="center"/>
            <w:hideMark/>
          </w:tcPr>
          <w:p w14:paraId="0B1B089C"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w:t>
            </w:r>
          </w:p>
        </w:tc>
        <w:tc>
          <w:tcPr>
            <w:tcW w:w="1251" w:type="dxa"/>
            <w:tcBorders>
              <w:top w:val="nil"/>
              <w:left w:val="nil"/>
              <w:bottom w:val="single" w:sz="4" w:space="0" w:color="auto"/>
              <w:right w:val="single" w:sz="4" w:space="0" w:color="auto"/>
            </w:tcBorders>
            <w:shd w:val="clear" w:color="000000" w:fill="FFFFFF"/>
            <w:vAlign w:val="center"/>
            <w:hideMark/>
          </w:tcPr>
          <w:p w14:paraId="2725FE3F"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(35)</w:t>
            </w:r>
          </w:p>
        </w:tc>
      </w:tr>
      <w:tr w:rsidR="00ED7F19" w:rsidRPr="00ED7F19" w14:paraId="4F73CD91" w14:textId="77777777" w:rsidTr="00C80C8B">
        <w:trPr>
          <w:gridAfter w:val="1"/>
          <w:wAfter w:w="6" w:type="dxa"/>
          <w:trHeight w:val="25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0BDD29A7"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Dívida Líquida do Setor Público (% do PIB)</w:t>
            </w:r>
          </w:p>
        </w:tc>
        <w:tc>
          <w:tcPr>
            <w:tcW w:w="1356" w:type="dxa"/>
            <w:tcBorders>
              <w:top w:val="nil"/>
              <w:left w:val="nil"/>
              <w:bottom w:val="single" w:sz="4" w:space="0" w:color="auto"/>
              <w:right w:val="single" w:sz="4" w:space="0" w:color="auto"/>
            </w:tcBorders>
            <w:shd w:val="clear" w:color="000000" w:fill="FFFFFF"/>
            <w:vAlign w:val="center"/>
          </w:tcPr>
          <w:p w14:paraId="3E939E18"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63,95</w:t>
            </w:r>
          </w:p>
        </w:tc>
        <w:tc>
          <w:tcPr>
            <w:tcW w:w="1356" w:type="dxa"/>
            <w:tcBorders>
              <w:top w:val="nil"/>
              <w:left w:val="nil"/>
              <w:bottom w:val="single" w:sz="4" w:space="0" w:color="auto"/>
              <w:right w:val="single" w:sz="4" w:space="0" w:color="auto"/>
            </w:tcBorders>
            <w:shd w:val="clear" w:color="000000" w:fill="FFFFFF"/>
            <w:vAlign w:val="center"/>
          </w:tcPr>
          <w:p w14:paraId="4024E1ED"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63,80</w:t>
            </w:r>
          </w:p>
        </w:tc>
        <w:tc>
          <w:tcPr>
            <w:tcW w:w="1356" w:type="dxa"/>
            <w:tcBorders>
              <w:top w:val="nil"/>
              <w:left w:val="nil"/>
              <w:bottom w:val="single" w:sz="4" w:space="0" w:color="auto"/>
              <w:right w:val="single" w:sz="4" w:space="0" w:color="auto"/>
            </w:tcBorders>
            <w:shd w:val="clear" w:color="000000" w:fill="FFFFFF"/>
            <w:vAlign w:val="center"/>
          </w:tcPr>
          <w:p w14:paraId="61FC0774"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63,90</w:t>
            </w:r>
          </w:p>
        </w:tc>
        <w:tc>
          <w:tcPr>
            <w:tcW w:w="1072" w:type="dxa"/>
            <w:tcBorders>
              <w:top w:val="nil"/>
              <w:left w:val="nil"/>
              <w:bottom w:val="single" w:sz="4" w:space="0" w:color="auto"/>
              <w:right w:val="single" w:sz="4" w:space="0" w:color="auto"/>
            </w:tcBorders>
            <w:shd w:val="clear" w:color="000000" w:fill="FFFFFF"/>
            <w:vAlign w:val="center"/>
            <w:hideMark/>
          </w:tcPr>
          <w:p w14:paraId="1CB6DC7D" w14:textId="77777777" w:rsidR="00ED7F19" w:rsidRPr="00ED7F19" w:rsidRDefault="00ED7F19" w:rsidP="00C80C8B">
            <w:pPr>
              <w:spacing w:after="0" w:line="240" w:lineRule="auto"/>
              <w:ind w:right="-568" w:firstLine="851"/>
              <w:rPr>
                <w:rFonts w:eastAsia="Times New Roman" w:cs="Calibri"/>
                <w:color w:val="00B050"/>
                <w:sz w:val="16"/>
                <w:szCs w:val="16"/>
                <w:lang w:eastAsia="pt-BR"/>
              </w:rPr>
            </w:pPr>
            <w:r w:rsidRPr="00ED7F19">
              <w:rPr>
                <w:rFonts w:ascii="Arial" w:eastAsia="Times New Roman" w:hAnsi="Arial" w:cs="Arial"/>
                <w:color w:val="00B050"/>
                <w:sz w:val="16"/>
                <w:szCs w:val="16"/>
                <w:lang w:eastAsia="pt-BR"/>
              </w:rPr>
              <w:t>ꜛ</w:t>
            </w:r>
          </w:p>
        </w:tc>
        <w:tc>
          <w:tcPr>
            <w:tcW w:w="1251" w:type="dxa"/>
            <w:tcBorders>
              <w:top w:val="nil"/>
              <w:left w:val="nil"/>
              <w:bottom w:val="single" w:sz="4" w:space="0" w:color="auto"/>
              <w:right w:val="single" w:sz="4" w:space="0" w:color="auto"/>
            </w:tcBorders>
            <w:shd w:val="clear" w:color="000000" w:fill="FFFFFF"/>
            <w:vAlign w:val="center"/>
            <w:hideMark/>
          </w:tcPr>
          <w:p w14:paraId="2E3557BE"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(1)</w:t>
            </w:r>
          </w:p>
        </w:tc>
      </w:tr>
      <w:tr w:rsidR="00ED7F19" w:rsidRPr="00ED7F19" w14:paraId="1C4211F5" w14:textId="77777777" w:rsidTr="00C80C8B">
        <w:trPr>
          <w:gridAfter w:val="1"/>
          <w:wAfter w:w="6" w:type="dxa"/>
          <w:trHeight w:val="25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28A220B3"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Resultado Primário (% do PIB)</w:t>
            </w:r>
          </w:p>
        </w:tc>
        <w:tc>
          <w:tcPr>
            <w:tcW w:w="1356" w:type="dxa"/>
            <w:tcBorders>
              <w:top w:val="nil"/>
              <w:left w:val="nil"/>
              <w:bottom w:val="single" w:sz="4" w:space="0" w:color="auto"/>
              <w:right w:val="single" w:sz="4" w:space="0" w:color="auto"/>
            </w:tcBorders>
            <w:shd w:val="clear" w:color="000000" w:fill="FFFFFF"/>
            <w:vAlign w:val="center"/>
          </w:tcPr>
          <w:p w14:paraId="6ECD3184"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-0,71</w:t>
            </w:r>
          </w:p>
        </w:tc>
        <w:tc>
          <w:tcPr>
            <w:tcW w:w="1356" w:type="dxa"/>
            <w:tcBorders>
              <w:top w:val="nil"/>
              <w:left w:val="nil"/>
              <w:bottom w:val="single" w:sz="4" w:space="0" w:color="auto"/>
              <w:right w:val="single" w:sz="4" w:space="0" w:color="auto"/>
            </w:tcBorders>
            <w:shd w:val="clear" w:color="000000" w:fill="FFFFFF"/>
            <w:vAlign w:val="center"/>
          </w:tcPr>
          <w:p w14:paraId="50F18186"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-0,80</w:t>
            </w:r>
          </w:p>
        </w:tc>
        <w:tc>
          <w:tcPr>
            <w:tcW w:w="1356" w:type="dxa"/>
            <w:tcBorders>
              <w:top w:val="nil"/>
              <w:left w:val="nil"/>
              <w:bottom w:val="single" w:sz="4" w:space="0" w:color="auto"/>
              <w:right w:val="single" w:sz="4" w:space="0" w:color="auto"/>
            </w:tcBorders>
            <w:shd w:val="clear" w:color="000000" w:fill="FFFFFF"/>
            <w:vAlign w:val="center"/>
          </w:tcPr>
          <w:p w14:paraId="5C02D329"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-0,75</w:t>
            </w:r>
          </w:p>
        </w:tc>
        <w:tc>
          <w:tcPr>
            <w:tcW w:w="1072" w:type="dxa"/>
            <w:tcBorders>
              <w:top w:val="nil"/>
              <w:left w:val="nil"/>
              <w:bottom w:val="single" w:sz="4" w:space="0" w:color="auto"/>
              <w:right w:val="single" w:sz="4" w:space="0" w:color="auto"/>
            </w:tcBorders>
            <w:shd w:val="clear" w:color="000000" w:fill="FFFFFF"/>
            <w:vAlign w:val="center"/>
            <w:hideMark/>
          </w:tcPr>
          <w:p w14:paraId="736BB1CB" w14:textId="77777777" w:rsidR="00ED7F19" w:rsidRPr="00ED7F19" w:rsidRDefault="00ED7F19" w:rsidP="00C80C8B">
            <w:pPr>
              <w:spacing w:after="0" w:line="240" w:lineRule="auto"/>
              <w:ind w:right="-568" w:firstLine="851"/>
              <w:rPr>
                <w:rFonts w:eastAsia="Times New Roman" w:cs="Calibri"/>
                <w:color w:val="FF0000"/>
                <w:sz w:val="16"/>
                <w:szCs w:val="16"/>
                <w:lang w:eastAsia="pt-BR"/>
              </w:rPr>
            </w:pPr>
            <w:r w:rsidRPr="00ED7F19">
              <w:rPr>
                <w:rFonts w:ascii="Arial" w:eastAsia="Times New Roman" w:hAnsi="Arial" w:cs="Arial"/>
                <w:color w:val="00B050"/>
                <w:sz w:val="16"/>
                <w:szCs w:val="16"/>
                <w:lang w:eastAsia="pt-BR"/>
              </w:rPr>
              <w:t>ꜛ</w:t>
            </w:r>
          </w:p>
        </w:tc>
        <w:tc>
          <w:tcPr>
            <w:tcW w:w="1251" w:type="dxa"/>
            <w:tcBorders>
              <w:top w:val="nil"/>
              <w:left w:val="nil"/>
              <w:bottom w:val="single" w:sz="4" w:space="0" w:color="auto"/>
              <w:right w:val="single" w:sz="4" w:space="0" w:color="auto"/>
            </w:tcBorders>
            <w:shd w:val="clear" w:color="000000" w:fill="FFFFFF"/>
            <w:vAlign w:val="center"/>
            <w:hideMark/>
          </w:tcPr>
          <w:p w14:paraId="0590BA27"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(1)</w:t>
            </w:r>
          </w:p>
        </w:tc>
      </w:tr>
      <w:tr w:rsidR="00ED7F19" w:rsidRPr="00ED7F19" w14:paraId="147526F1" w14:textId="77777777" w:rsidTr="00C80C8B">
        <w:trPr>
          <w:gridAfter w:val="1"/>
          <w:wAfter w:w="6" w:type="dxa"/>
          <w:trHeight w:val="25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2DB7A8CA" w14:textId="77777777" w:rsidR="00ED7F19" w:rsidRPr="00ED7F19" w:rsidRDefault="00ED7F19" w:rsidP="00C80C8B">
            <w:pPr>
              <w:spacing w:after="0" w:line="240" w:lineRule="auto"/>
              <w:ind w:right="-568"/>
              <w:rPr>
                <w:rFonts w:eastAsia="Times New Roman" w:cs="Calibri"/>
                <w:b/>
                <w:bCs/>
                <w:sz w:val="16"/>
                <w:szCs w:val="16"/>
                <w:lang w:eastAsia="pt-BR"/>
              </w:rPr>
            </w:pPr>
            <w:r w:rsidRPr="00ED7F19">
              <w:rPr>
                <w:rFonts w:eastAsia="Times New Roman" w:cs="Calibri"/>
                <w:b/>
                <w:bCs/>
                <w:sz w:val="16"/>
                <w:szCs w:val="16"/>
                <w:lang w:eastAsia="pt-BR"/>
              </w:rPr>
              <w:t>Resultado Nominal (% do PIB)</w:t>
            </w:r>
          </w:p>
        </w:tc>
        <w:tc>
          <w:tcPr>
            <w:tcW w:w="1356" w:type="dxa"/>
            <w:tcBorders>
              <w:top w:val="nil"/>
              <w:left w:val="nil"/>
              <w:bottom w:val="single" w:sz="4" w:space="0" w:color="auto"/>
              <w:right w:val="single" w:sz="4" w:space="0" w:color="auto"/>
            </w:tcBorders>
            <w:shd w:val="clear" w:color="000000" w:fill="FFFFFF"/>
            <w:vAlign w:val="center"/>
          </w:tcPr>
          <w:p w14:paraId="79D31D7A"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-6,80</w:t>
            </w:r>
          </w:p>
        </w:tc>
        <w:tc>
          <w:tcPr>
            <w:tcW w:w="1356" w:type="dxa"/>
            <w:tcBorders>
              <w:top w:val="nil"/>
              <w:left w:val="nil"/>
              <w:bottom w:val="single" w:sz="4" w:space="0" w:color="auto"/>
              <w:right w:val="single" w:sz="4" w:space="0" w:color="auto"/>
            </w:tcBorders>
            <w:shd w:val="clear" w:color="000000" w:fill="FFFFFF"/>
            <w:vAlign w:val="center"/>
          </w:tcPr>
          <w:p w14:paraId="331ED831"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-6,59</w:t>
            </w:r>
          </w:p>
        </w:tc>
        <w:tc>
          <w:tcPr>
            <w:tcW w:w="1356" w:type="dxa"/>
            <w:tcBorders>
              <w:top w:val="nil"/>
              <w:left w:val="nil"/>
              <w:bottom w:val="single" w:sz="4" w:space="0" w:color="auto"/>
              <w:right w:val="single" w:sz="4" w:space="0" w:color="auto"/>
            </w:tcBorders>
            <w:shd w:val="clear" w:color="000000" w:fill="FFFFFF"/>
            <w:vAlign w:val="center"/>
          </w:tcPr>
          <w:p w14:paraId="4158A7D7"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-6,57</w:t>
            </w:r>
          </w:p>
        </w:tc>
        <w:tc>
          <w:tcPr>
            <w:tcW w:w="1072" w:type="dxa"/>
            <w:tcBorders>
              <w:top w:val="nil"/>
              <w:left w:val="nil"/>
              <w:bottom w:val="single" w:sz="4" w:space="0" w:color="auto"/>
              <w:right w:val="single" w:sz="4" w:space="0" w:color="auto"/>
            </w:tcBorders>
            <w:shd w:val="clear" w:color="000000" w:fill="FFFFFF"/>
            <w:vAlign w:val="center"/>
            <w:hideMark/>
          </w:tcPr>
          <w:p w14:paraId="012BCD5C" w14:textId="77777777" w:rsidR="00ED7F19" w:rsidRPr="00ED7F19" w:rsidRDefault="00ED7F19" w:rsidP="00C80C8B">
            <w:pPr>
              <w:spacing w:after="0" w:line="240" w:lineRule="auto"/>
              <w:ind w:right="-568" w:firstLine="851"/>
              <w:rPr>
                <w:rFonts w:eastAsia="Times New Roman" w:cs="Calibri"/>
                <w:color w:val="FF0000"/>
                <w:sz w:val="16"/>
                <w:szCs w:val="16"/>
                <w:lang w:eastAsia="pt-BR"/>
              </w:rPr>
            </w:pPr>
            <w:r w:rsidRPr="00ED7F19">
              <w:rPr>
                <w:rFonts w:ascii="Arial" w:eastAsia="Times New Roman" w:hAnsi="Arial" w:cs="Arial"/>
                <w:color w:val="00B050"/>
                <w:sz w:val="16"/>
                <w:szCs w:val="16"/>
                <w:lang w:eastAsia="pt-BR"/>
              </w:rPr>
              <w:t>ꜛ</w:t>
            </w:r>
          </w:p>
        </w:tc>
        <w:tc>
          <w:tcPr>
            <w:tcW w:w="1251" w:type="dxa"/>
            <w:tcBorders>
              <w:top w:val="nil"/>
              <w:left w:val="nil"/>
              <w:bottom w:val="single" w:sz="4" w:space="0" w:color="auto"/>
              <w:right w:val="single" w:sz="4" w:space="0" w:color="auto"/>
            </w:tcBorders>
            <w:shd w:val="clear" w:color="000000" w:fill="FFFFFF"/>
            <w:vAlign w:val="center"/>
            <w:hideMark/>
          </w:tcPr>
          <w:p w14:paraId="0871E544" w14:textId="77777777" w:rsidR="00ED7F19" w:rsidRPr="00ED7F19" w:rsidRDefault="00ED7F19" w:rsidP="00C80C8B">
            <w:pPr>
              <w:spacing w:after="0" w:line="240" w:lineRule="auto"/>
              <w:ind w:right="-568" w:firstLine="851"/>
              <w:rPr>
                <w:rFonts w:eastAsia="Times New Roman" w:cs="Calibri"/>
                <w:sz w:val="16"/>
                <w:szCs w:val="16"/>
                <w:lang w:eastAsia="pt-BR"/>
              </w:rPr>
            </w:pPr>
            <w:r w:rsidRPr="00ED7F19">
              <w:rPr>
                <w:rFonts w:eastAsia="Times New Roman" w:cs="Calibri"/>
                <w:sz w:val="16"/>
                <w:szCs w:val="16"/>
                <w:lang w:eastAsia="pt-BR"/>
              </w:rPr>
              <w:t>(1)</w:t>
            </w:r>
          </w:p>
        </w:tc>
      </w:tr>
    </w:tbl>
    <w:p w14:paraId="01F9A647" w14:textId="77777777" w:rsidR="00ED7F19" w:rsidRDefault="00ED7F19" w:rsidP="00C80C8B">
      <w:pPr>
        <w:autoSpaceDE w:val="0"/>
        <w:autoSpaceDN w:val="0"/>
        <w:adjustRightInd w:val="0"/>
        <w:spacing w:after="0" w:line="360" w:lineRule="auto"/>
        <w:ind w:right="-568" w:firstLine="851"/>
        <w:rPr>
          <w:rFonts w:asciiTheme="minorHAnsi" w:hAnsiTheme="minorHAnsi" w:cstheme="minorHAnsi"/>
          <w:sz w:val="24"/>
          <w:szCs w:val="24"/>
          <w:highlight w:val="red"/>
          <w:lang w:eastAsia="pt-BR"/>
        </w:rPr>
      </w:pPr>
    </w:p>
    <w:p w14:paraId="5064E7F0" w14:textId="3711CA6A" w:rsidR="00E208BE" w:rsidRDefault="00ED7F19" w:rsidP="00783F9A">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Os números acima consideraram o Boletim Focus de 29 de setembro de 2026. Ainda de acordo com a divulgação dos dados do Boletim Focus e estendendo a série histórica de 08/01/2021 a 29/09/2023, consideram-se as seguintes expectativas dos demais agentes do mercado para 2023 e 2024:</w:t>
      </w:r>
    </w:p>
    <w:p w14:paraId="321E2402" w14:textId="77777777" w:rsidR="00E208BE" w:rsidRDefault="00E208BE"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tbl>
      <w:tblPr>
        <w:tblW w:w="6480" w:type="dxa"/>
        <w:jc w:val="center"/>
        <w:tblCellMar>
          <w:left w:w="70" w:type="dxa"/>
          <w:right w:w="70" w:type="dxa"/>
        </w:tblCellMar>
        <w:tblLook w:val="04A0" w:firstRow="1" w:lastRow="0" w:firstColumn="1" w:lastColumn="0" w:noHBand="0" w:noVBand="1"/>
      </w:tblPr>
      <w:tblGrid>
        <w:gridCol w:w="1861"/>
        <w:gridCol w:w="2514"/>
        <w:gridCol w:w="2105"/>
      </w:tblGrid>
      <w:tr w:rsidR="00ED7F19" w:rsidRPr="00F540E3" w14:paraId="444EF239" w14:textId="77777777" w:rsidTr="00EC39F2">
        <w:trPr>
          <w:trHeight w:val="300"/>
          <w:jc w:val="center"/>
        </w:trPr>
        <w:tc>
          <w:tcPr>
            <w:tcW w:w="64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hideMark/>
          </w:tcPr>
          <w:p w14:paraId="167C9438" w14:textId="77777777" w:rsidR="00ED7F19" w:rsidRPr="00EC39F2" w:rsidRDefault="00ED7F19" w:rsidP="00AE0479">
            <w:pPr>
              <w:spacing w:after="0" w:line="240" w:lineRule="auto"/>
              <w:ind w:right="-568" w:firstLine="851"/>
              <w:rPr>
                <w:rFonts w:eastAsia="Times New Roman" w:cs="Calibri"/>
                <w:b/>
                <w:bCs/>
                <w:color w:val="FFFFFF" w:themeColor="background1"/>
                <w:lang w:eastAsia="pt-BR"/>
              </w:rPr>
            </w:pPr>
            <w:r w:rsidRPr="00EC39F2">
              <w:rPr>
                <w:rFonts w:eastAsia="Times New Roman" w:cs="Calibri"/>
                <w:b/>
                <w:bCs/>
                <w:color w:val="FFFFFF" w:themeColor="background1"/>
                <w:lang w:eastAsia="pt-BR"/>
              </w:rPr>
              <w:t xml:space="preserve">INSTITUIÇÃO FISCAL INDEPENDENTES – IFI </w:t>
            </w:r>
          </w:p>
        </w:tc>
      </w:tr>
      <w:tr w:rsidR="00ED7F19" w:rsidRPr="00EC39F2" w14:paraId="7042CE78"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3AF524B" w14:textId="77777777" w:rsidR="00ED7F19" w:rsidRPr="00EC39F2" w:rsidRDefault="00ED7F19" w:rsidP="00B03275">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 </w:t>
            </w:r>
          </w:p>
        </w:tc>
        <w:tc>
          <w:tcPr>
            <w:tcW w:w="2514" w:type="dxa"/>
            <w:tcBorders>
              <w:top w:val="nil"/>
              <w:left w:val="nil"/>
              <w:bottom w:val="single" w:sz="4" w:space="0" w:color="auto"/>
              <w:right w:val="single" w:sz="4" w:space="0" w:color="auto"/>
            </w:tcBorders>
            <w:shd w:val="clear" w:color="auto" w:fill="auto"/>
            <w:noWrap/>
            <w:vAlign w:val="bottom"/>
            <w:hideMark/>
          </w:tcPr>
          <w:p w14:paraId="17F4DC11" w14:textId="77777777" w:rsidR="00ED7F19" w:rsidRPr="00EC39F2" w:rsidRDefault="00ED7F19" w:rsidP="00E208BE">
            <w:pPr>
              <w:spacing w:after="0" w:line="240" w:lineRule="auto"/>
              <w:ind w:right="-568" w:firstLine="615"/>
              <w:rPr>
                <w:rFonts w:eastAsia="Times New Roman" w:cs="Calibri"/>
                <w:b/>
                <w:bCs/>
                <w:color w:val="000000"/>
                <w:lang w:eastAsia="pt-BR"/>
              </w:rPr>
            </w:pPr>
            <w:r w:rsidRPr="00EC39F2">
              <w:rPr>
                <w:rFonts w:eastAsia="Times New Roman" w:cs="Calibri"/>
                <w:b/>
                <w:bCs/>
                <w:color w:val="000000"/>
                <w:lang w:eastAsia="pt-BR"/>
              </w:rPr>
              <w:t>2023</w:t>
            </w:r>
          </w:p>
        </w:tc>
        <w:tc>
          <w:tcPr>
            <w:tcW w:w="2105" w:type="dxa"/>
            <w:tcBorders>
              <w:top w:val="nil"/>
              <w:left w:val="nil"/>
              <w:bottom w:val="single" w:sz="4" w:space="0" w:color="auto"/>
              <w:right w:val="single" w:sz="4" w:space="0" w:color="auto"/>
            </w:tcBorders>
            <w:shd w:val="clear" w:color="auto" w:fill="auto"/>
            <w:noWrap/>
            <w:vAlign w:val="bottom"/>
            <w:hideMark/>
          </w:tcPr>
          <w:p w14:paraId="27AB4355" w14:textId="77777777" w:rsidR="00ED7F19" w:rsidRPr="00EC39F2" w:rsidRDefault="00ED7F19" w:rsidP="00E208BE">
            <w:pPr>
              <w:spacing w:after="0" w:line="240" w:lineRule="auto"/>
              <w:ind w:right="-568" w:firstLine="615"/>
              <w:rPr>
                <w:rFonts w:eastAsia="Times New Roman" w:cs="Calibri"/>
                <w:b/>
                <w:bCs/>
                <w:color w:val="000000"/>
                <w:lang w:eastAsia="pt-BR"/>
              </w:rPr>
            </w:pPr>
            <w:r w:rsidRPr="00EC39F2">
              <w:rPr>
                <w:rFonts w:eastAsia="Times New Roman" w:cs="Calibri"/>
                <w:b/>
                <w:bCs/>
                <w:color w:val="000000"/>
                <w:lang w:eastAsia="pt-BR"/>
              </w:rPr>
              <w:t>2024</w:t>
            </w:r>
          </w:p>
        </w:tc>
      </w:tr>
      <w:tr w:rsidR="00ED7F19" w:rsidRPr="00EC39F2" w14:paraId="29E502F0"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DF7D372" w14:textId="77777777" w:rsidR="00ED7F19" w:rsidRPr="00EC39F2" w:rsidRDefault="00ED7F19" w:rsidP="00B03275">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PIB</w:t>
            </w:r>
          </w:p>
        </w:tc>
        <w:tc>
          <w:tcPr>
            <w:tcW w:w="2514" w:type="dxa"/>
            <w:tcBorders>
              <w:top w:val="nil"/>
              <w:left w:val="nil"/>
              <w:bottom w:val="single" w:sz="4" w:space="0" w:color="auto"/>
              <w:right w:val="single" w:sz="4" w:space="0" w:color="auto"/>
            </w:tcBorders>
            <w:shd w:val="clear" w:color="auto" w:fill="auto"/>
            <w:noWrap/>
            <w:vAlign w:val="bottom"/>
            <w:hideMark/>
          </w:tcPr>
          <w:p w14:paraId="37778E03" w14:textId="77777777" w:rsidR="00ED7F19" w:rsidRPr="00EC39F2" w:rsidRDefault="00ED7F19" w:rsidP="00E208BE">
            <w:pPr>
              <w:spacing w:after="0" w:line="240" w:lineRule="auto"/>
              <w:ind w:right="-568" w:firstLine="615"/>
              <w:rPr>
                <w:rFonts w:eastAsia="Times New Roman" w:cs="Calibri"/>
                <w:color w:val="000000"/>
                <w:lang w:eastAsia="pt-BR"/>
              </w:rPr>
            </w:pPr>
            <w:r w:rsidRPr="00EC39F2">
              <w:rPr>
                <w:rFonts w:eastAsia="Times New Roman" w:cs="Calibri"/>
                <w:color w:val="000000"/>
                <w:lang w:eastAsia="pt-BR"/>
              </w:rPr>
              <w:t>0,90%</w:t>
            </w:r>
          </w:p>
        </w:tc>
        <w:tc>
          <w:tcPr>
            <w:tcW w:w="2105" w:type="dxa"/>
            <w:tcBorders>
              <w:top w:val="nil"/>
              <w:left w:val="nil"/>
              <w:bottom w:val="single" w:sz="4" w:space="0" w:color="auto"/>
              <w:right w:val="single" w:sz="4" w:space="0" w:color="auto"/>
            </w:tcBorders>
            <w:shd w:val="clear" w:color="auto" w:fill="auto"/>
            <w:noWrap/>
            <w:vAlign w:val="bottom"/>
            <w:hideMark/>
          </w:tcPr>
          <w:p w14:paraId="008FDB84" w14:textId="77777777" w:rsidR="00ED7F19" w:rsidRPr="00EC39F2" w:rsidRDefault="00ED7F19" w:rsidP="00E208BE">
            <w:pPr>
              <w:spacing w:after="0" w:line="240" w:lineRule="auto"/>
              <w:ind w:right="-568" w:firstLine="615"/>
              <w:rPr>
                <w:rFonts w:eastAsia="Times New Roman" w:cs="Calibri"/>
                <w:color w:val="000000"/>
                <w:lang w:eastAsia="pt-BR"/>
              </w:rPr>
            </w:pPr>
            <w:r w:rsidRPr="00EC39F2">
              <w:rPr>
                <w:rFonts w:eastAsia="Times New Roman" w:cs="Calibri"/>
                <w:color w:val="000000"/>
                <w:lang w:eastAsia="pt-BR"/>
              </w:rPr>
              <w:t>1,60%</w:t>
            </w:r>
          </w:p>
        </w:tc>
      </w:tr>
      <w:tr w:rsidR="00ED7F19" w:rsidRPr="00EC39F2" w14:paraId="58A9E1C1" w14:textId="77777777" w:rsidTr="001B2929">
        <w:trPr>
          <w:trHeight w:val="300"/>
          <w:jc w:val="center"/>
        </w:trPr>
        <w:tc>
          <w:tcPr>
            <w:tcW w:w="1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7C91" w14:textId="77777777" w:rsidR="00ED7F19" w:rsidRPr="00EC39F2" w:rsidRDefault="00ED7F19" w:rsidP="00B03275">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IPCA</w:t>
            </w:r>
          </w:p>
        </w:tc>
        <w:tc>
          <w:tcPr>
            <w:tcW w:w="2514" w:type="dxa"/>
            <w:tcBorders>
              <w:top w:val="single" w:sz="4" w:space="0" w:color="auto"/>
              <w:left w:val="nil"/>
              <w:bottom w:val="single" w:sz="4" w:space="0" w:color="auto"/>
              <w:right w:val="single" w:sz="4" w:space="0" w:color="auto"/>
            </w:tcBorders>
            <w:shd w:val="clear" w:color="auto" w:fill="auto"/>
            <w:noWrap/>
            <w:vAlign w:val="bottom"/>
            <w:hideMark/>
          </w:tcPr>
          <w:p w14:paraId="2DEDA1AD" w14:textId="77777777" w:rsidR="00ED7F19" w:rsidRPr="00EC39F2" w:rsidRDefault="00ED7F19" w:rsidP="00E208BE">
            <w:pPr>
              <w:spacing w:after="0" w:line="240" w:lineRule="auto"/>
              <w:ind w:right="-568" w:firstLine="615"/>
              <w:rPr>
                <w:rFonts w:eastAsia="Times New Roman" w:cs="Calibri"/>
                <w:color w:val="000000"/>
                <w:lang w:eastAsia="pt-BR"/>
              </w:rPr>
            </w:pPr>
            <w:r w:rsidRPr="00EC39F2">
              <w:rPr>
                <w:rFonts w:eastAsia="Times New Roman" w:cs="Calibri"/>
                <w:color w:val="000000"/>
                <w:lang w:eastAsia="pt-BR"/>
              </w:rPr>
              <w:t>4,70%</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106047A9" w14:textId="77777777" w:rsidR="00ED7F19" w:rsidRPr="00EC39F2" w:rsidRDefault="00ED7F19" w:rsidP="00E208BE">
            <w:pPr>
              <w:spacing w:after="0" w:line="240" w:lineRule="auto"/>
              <w:ind w:right="-568" w:firstLine="615"/>
              <w:rPr>
                <w:rFonts w:eastAsia="Times New Roman" w:cs="Calibri"/>
                <w:color w:val="000000"/>
                <w:lang w:eastAsia="pt-BR"/>
              </w:rPr>
            </w:pPr>
            <w:r w:rsidRPr="00EC39F2">
              <w:rPr>
                <w:rFonts w:eastAsia="Times New Roman" w:cs="Calibri"/>
                <w:color w:val="000000"/>
                <w:lang w:eastAsia="pt-BR"/>
              </w:rPr>
              <w:t>5,30%</w:t>
            </w:r>
          </w:p>
        </w:tc>
      </w:tr>
      <w:tr w:rsidR="00ED7F19" w:rsidRPr="00EC39F2" w14:paraId="66FBB8FB" w14:textId="77777777" w:rsidTr="00EC39F2">
        <w:trPr>
          <w:trHeight w:val="7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8468E45" w14:textId="77777777" w:rsidR="00ED7F19" w:rsidRPr="00EC39F2" w:rsidRDefault="00ED7F19" w:rsidP="00B03275">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SELIC</w:t>
            </w:r>
          </w:p>
        </w:tc>
        <w:tc>
          <w:tcPr>
            <w:tcW w:w="2514" w:type="dxa"/>
            <w:tcBorders>
              <w:top w:val="nil"/>
              <w:left w:val="nil"/>
              <w:bottom w:val="single" w:sz="4" w:space="0" w:color="auto"/>
              <w:right w:val="single" w:sz="4" w:space="0" w:color="auto"/>
            </w:tcBorders>
            <w:shd w:val="clear" w:color="auto" w:fill="auto"/>
            <w:noWrap/>
            <w:vAlign w:val="bottom"/>
            <w:hideMark/>
          </w:tcPr>
          <w:p w14:paraId="15CCA8CA" w14:textId="77777777" w:rsidR="00ED7F19" w:rsidRPr="00EC39F2" w:rsidRDefault="00ED7F19" w:rsidP="00E208BE">
            <w:pPr>
              <w:spacing w:after="0" w:line="240" w:lineRule="auto"/>
              <w:ind w:right="-568" w:firstLine="615"/>
              <w:rPr>
                <w:rFonts w:eastAsia="Times New Roman" w:cs="Calibri"/>
                <w:color w:val="000000"/>
                <w:lang w:eastAsia="pt-BR"/>
              </w:rPr>
            </w:pPr>
            <w:r w:rsidRPr="00EC39F2">
              <w:rPr>
                <w:rFonts w:eastAsia="Times New Roman" w:cs="Calibri"/>
                <w:color w:val="000000"/>
                <w:lang w:eastAsia="pt-BR"/>
              </w:rPr>
              <w:t>11,50%</w:t>
            </w:r>
          </w:p>
        </w:tc>
        <w:tc>
          <w:tcPr>
            <w:tcW w:w="2105" w:type="dxa"/>
            <w:tcBorders>
              <w:top w:val="nil"/>
              <w:left w:val="nil"/>
              <w:bottom w:val="single" w:sz="4" w:space="0" w:color="auto"/>
              <w:right w:val="single" w:sz="4" w:space="0" w:color="auto"/>
            </w:tcBorders>
            <w:shd w:val="clear" w:color="auto" w:fill="auto"/>
            <w:noWrap/>
            <w:vAlign w:val="bottom"/>
            <w:hideMark/>
          </w:tcPr>
          <w:p w14:paraId="6773F7F1" w14:textId="77777777" w:rsidR="00ED7F19" w:rsidRPr="00EC39F2" w:rsidRDefault="00ED7F19" w:rsidP="00E208BE">
            <w:pPr>
              <w:spacing w:after="0" w:line="240" w:lineRule="auto"/>
              <w:ind w:right="-568" w:firstLine="615"/>
              <w:rPr>
                <w:rFonts w:eastAsia="Times New Roman" w:cs="Calibri"/>
                <w:color w:val="000000"/>
                <w:lang w:eastAsia="pt-BR"/>
              </w:rPr>
            </w:pPr>
            <w:r w:rsidRPr="00EC39F2">
              <w:rPr>
                <w:rFonts w:eastAsia="Times New Roman" w:cs="Calibri"/>
                <w:color w:val="000000"/>
                <w:lang w:eastAsia="pt-BR"/>
              </w:rPr>
              <w:t>9,00%</w:t>
            </w:r>
          </w:p>
        </w:tc>
      </w:tr>
    </w:tbl>
    <w:p w14:paraId="61F46C9E" w14:textId="77777777" w:rsidR="00ED7F19" w:rsidRPr="00EC39F2" w:rsidRDefault="00ED7F19" w:rsidP="00B03275">
      <w:pPr>
        <w:autoSpaceDE w:val="0"/>
        <w:autoSpaceDN w:val="0"/>
        <w:adjustRightInd w:val="0"/>
        <w:spacing w:after="0" w:line="360" w:lineRule="auto"/>
        <w:ind w:right="-568" w:firstLine="851"/>
        <w:jc w:val="both"/>
        <w:rPr>
          <w:rFonts w:cs="Calibri"/>
          <w:color w:val="FFFFFF" w:themeColor="background1"/>
          <w:highlight w:val="yellow"/>
          <w:lang w:eastAsia="pt-BR"/>
        </w:rPr>
      </w:pPr>
    </w:p>
    <w:tbl>
      <w:tblPr>
        <w:tblW w:w="6480" w:type="dxa"/>
        <w:jc w:val="center"/>
        <w:tblCellMar>
          <w:left w:w="70" w:type="dxa"/>
          <w:right w:w="70" w:type="dxa"/>
        </w:tblCellMar>
        <w:tblLook w:val="04A0" w:firstRow="1" w:lastRow="0" w:firstColumn="1" w:lastColumn="0" w:noHBand="0" w:noVBand="1"/>
      </w:tblPr>
      <w:tblGrid>
        <w:gridCol w:w="1861"/>
        <w:gridCol w:w="2514"/>
        <w:gridCol w:w="2105"/>
      </w:tblGrid>
      <w:tr w:rsidR="00EC39F2" w:rsidRPr="00EC39F2" w14:paraId="571D6965" w14:textId="77777777" w:rsidTr="00EC39F2">
        <w:trPr>
          <w:trHeight w:val="300"/>
          <w:jc w:val="center"/>
        </w:trPr>
        <w:tc>
          <w:tcPr>
            <w:tcW w:w="64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hideMark/>
          </w:tcPr>
          <w:p w14:paraId="78F7D7C4" w14:textId="77777777" w:rsidR="00ED7F19" w:rsidRPr="00EC39F2" w:rsidRDefault="00ED7F19" w:rsidP="00AE0479">
            <w:pPr>
              <w:spacing w:after="0" w:line="240" w:lineRule="auto"/>
              <w:ind w:right="-568" w:firstLine="851"/>
              <w:rPr>
                <w:rFonts w:eastAsia="Times New Roman" w:cs="Calibri"/>
                <w:b/>
                <w:bCs/>
                <w:color w:val="FFFFFF" w:themeColor="background1"/>
                <w:lang w:eastAsia="pt-BR"/>
              </w:rPr>
            </w:pPr>
            <w:r w:rsidRPr="00EC39F2">
              <w:rPr>
                <w:rFonts w:eastAsia="Times New Roman" w:cs="Calibri"/>
                <w:b/>
                <w:bCs/>
                <w:color w:val="FFFFFF" w:themeColor="background1"/>
                <w:lang w:eastAsia="pt-BR"/>
              </w:rPr>
              <w:lastRenderedPageBreak/>
              <w:t xml:space="preserve">INSTITUTO DE PESQUISA ECONÔMICA APLICADA – IPEA </w:t>
            </w:r>
          </w:p>
        </w:tc>
      </w:tr>
      <w:tr w:rsidR="00ED7F19" w:rsidRPr="00EC39F2" w14:paraId="7C061CD7"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E6136D0"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 </w:t>
            </w:r>
          </w:p>
        </w:tc>
        <w:tc>
          <w:tcPr>
            <w:tcW w:w="2514" w:type="dxa"/>
            <w:tcBorders>
              <w:top w:val="nil"/>
              <w:left w:val="nil"/>
              <w:bottom w:val="single" w:sz="4" w:space="0" w:color="auto"/>
              <w:right w:val="single" w:sz="4" w:space="0" w:color="auto"/>
            </w:tcBorders>
            <w:shd w:val="clear" w:color="auto" w:fill="auto"/>
            <w:noWrap/>
            <w:vAlign w:val="bottom"/>
            <w:hideMark/>
          </w:tcPr>
          <w:p w14:paraId="12808B5A"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2023</w:t>
            </w:r>
          </w:p>
        </w:tc>
        <w:tc>
          <w:tcPr>
            <w:tcW w:w="2105" w:type="dxa"/>
            <w:tcBorders>
              <w:top w:val="nil"/>
              <w:left w:val="nil"/>
              <w:bottom w:val="single" w:sz="4" w:space="0" w:color="auto"/>
              <w:right w:val="single" w:sz="4" w:space="0" w:color="auto"/>
            </w:tcBorders>
            <w:shd w:val="clear" w:color="auto" w:fill="auto"/>
            <w:noWrap/>
            <w:vAlign w:val="bottom"/>
            <w:hideMark/>
          </w:tcPr>
          <w:p w14:paraId="686EC19A"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2024</w:t>
            </w:r>
          </w:p>
        </w:tc>
      </w:tr>
      <w:tr w:rsidR="00ED7F19" w:rsidRPr="00EC39F2" w14:paraId="10EB25C4"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18D5387"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PIB</w:t>
            </w:r>
          </w:p>
        </w:tc>
        <w:tc>
          <w:tcPr>
            <w:tcW w:w="2514" w:type="dxa"/>
            <w:tcBorders>
              <w:top w:val="nil"/>
              <w:left w:val="nil"/>
              <w:bottom w:val="single" w:sz="4" w:space="0" w:color="auto"/>
              <w:right w:val="single" w:sz="4" w:space="0" w:color="auto"/>
            </w:tcBorders>
            <w:shd w:val="clear" w:color="auto" w:fill="auto"/>
            <w:noWrap/>
            <w:vAlign w:val="bottom"/>
            <w:hideMark/>
          </w:tcPr>
          <w:p w14:paraId="75CA1969"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3,30%</w:t>
            </w:r>
          </w:p>
        </w:tc>
        <w:tc>
          <w:tcPr>
            <w:tcW w:w="2105" w:type="dxa"/>
            <w:tcBorders>
              <w:top w:val="nil"/>
              <w:left w:val="nil"/>
              <w:bottom w:val="single" w:sz="4" w:space="0" w:color="auto"/>
              <w:right w:val="single" w:sz="4" w:space="0" w:color="auto"/>
            </w:tcBorders>
            <w:shd w:val="clear" w:color="auto" w:fill="auto"/>
            <w:noWrap/>
            <w:vAlign w:val="bottom"/>
            <w:hideMark/>
          </w:tcPr>
          <w:p w14:paraId="653DDA43"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2,00%</w:t>
            </w:r>
          </w:p>
        </w:tc>
      </w:tr>
      <w:tr w:rsidR="00ED7F19" w:rsidRPr="00EC39F2" w14:paraId="159CE902" w14:textId="77777777" w:rsidTr="001B2929">
        <w:trPr>
          <w:trHeight w:val="300"/>
          <w:jc w:val="center"/>
        </w:trPr>
        <w:tc>
          <w:tcPr>
            <w:tcW w:w="1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4997C"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IPCA</w:t>
            </w:r>
          </w:p>
        </w:tc>
        <w:tc>
          <w:tcPr>
            <w:tcW w:w="2514" w:type="dxa"/>
            <w:tcBorders>
              <w:top w:val="single" w:sz="4" w:space="0" w:color="auto"/>
              <w:left w:val="nil"/>
              <w:bottom w:val="single" w:sz="4" w:space="0" w:color="auto"/>
              <w:right w:val="single" w:sz="4" w:space="0" w:color="auto"/>
            </w:tcBorders>
            <w:shd w:val="clear" w:color="auto" w:fill="auto"/>
            <w:noWrap/>
            <w:vAlign w:val="bottom"/>
            <w:hideMark/>
          </w:tcPr>
          <w:p w14:paraId="3950F640"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4,80%</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7203C4AC"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N/E</w:t>
            </w:r>
          </w:p>
        </w:tc>
      </w:tr>
      <w:tr w:rsidR="00ED7F19" w:rsidRPr="00EC39F2" w14:paraId="035F8D82" w14:textId="77777777" w:rsidTr="00EC39F2">
        <w:trPr>
          <w:trHeight w:val="7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FA3A235"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SELIC</w:t>
            </w:r>
          </w:p>
        </w:tc>
        <w:tc>
          <w:tcPr>
            <w:tcW w:w="2514" w:type="dxa"/>
            <w:tcBorders>
              <w:top w:val="nil"/>
              <w:left w:val="nil"/>
              <w:bottom w:val="single" w:sz="4" w:space="0" w:color="auto"/>
              <w:right w:val="single" w:sz="4" w:space="0" w:color="auto"/>
            </w:tcBorders>
            <w:shd w:val="clear" w:color="auto" w:fill="auto"/>
            <w:noWrap/>
            <w:vAlign w:val="bottom"/>
            <w:hideMark/>
          </w:tcPr>
          <w:p w14:paraId="039292BD"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11,75%</w:t>
            </w:r>
          </w:p>
        </w:tc>
        <w:tc>
          <w:tcPr>
            <w:tcW w:w="2105" w:type="dxa"/>
            <w:tcBorders>
              <w:top w:val="nil"/>
              <w:left w:val="nil"/>
              <w:bottom w:val="single" w:sz="4" w:space="0" w:color="auto"/>
              <w:right w:val="single" w:sz="4" w:space="0" w:color="auto"/>
            </w:tcBorders>
            <w:shd w:val="clear" w:color="auto" w:fill="auto"/>
            <w:noWrap/>
            <w:vAlign w:val="bottom"/>
            <w:hideMark/>
          </w:tcPr>
          <w:p w14:paraId="29141B14"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9,00%</w:t>
            </w:r>
          </w:p>
        </w:tc>
      </w:tr>
    </w:tbl>
    <w:p w14:paraId="03C47365" w14:textId="77777777" w:rsidR="00ED7F19" w:rsidRPr="00EC39F2" w:rsidRDefault="00ED7F19" w:rsidP="00E208BE">
      <w:pPr>
        <w:autoSpaceDE w:val="0"/>
        <w:autoSpaceDN w:val="0"/>
        <w:adjustRightInd w:val="0"/>
        <w:spacing w:after="0" w:line="360" w:lineRule="auto"/>
        <w:ind w:right="-568" w:firstLine="851"/>
        <w:rPr>
          <w:rFonts w:cs="Calibri"/>
          <w:highlight w:val="yellow"/>
          <w:lang w:eastAsia="pt-BR"/>
        </w:rPr>
      </w:pPr>
    </w:p>
    <w:tbl>
      <w:tblPr>
        <w:tblW w:w="6480" w:type="dxa"/>
        <w:jc w:val="center"/>
        <w:tblCellMar>
          <w:left w:w="70" w:type="dxa"/>
          <w:right w:w="70" w:type="dxa"/>
        </w:tblCellMar>
        <w:tblLook w:val="04A0" w:firstRow="1" w:lastRow="0" w:firstColumn="1" w:lastColumn="0" w:noHBand="0" w:noVBand="1"/>
      </w:tblPr>
      <w:tblGrid>
        <w:gridCol w:w="1861"/>
        <w:gridCol w:w="2514"/>
        <w:gridCol w:w="2105"/>
      </w:tblGrid>
      <w:tr w:rsidR="00ED7F19" w:rsidRPr="00EC39F2" w14:paraId="61CE6425" w14:textId="77777777" w:rsidTr="00EC39F2">
        <w:trPr>
          <w:trHeight w:val="300"/>
          <w:jc w:val="center"/>
        </w:trPr>
        <w:tc>
          <w:tcPr>
            <w:tcW w:w="64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hideMark/>
          </w:tcPr>
          <w:p w14:paraId="228BA1E4" w14:textId="2D64AC9F" w:rsidR="00ED7F19" w:rsidRPr="00EC39F2" w:rsidRDefault="00EC39F2" w:rsidP="00EC39F2">
            <w:pPr>
              <w:spacing w:after="0" w:line="240" w:lineRule="auto"/>
              <w:ind w:right="-568"/>
              <w:rPr>
                <w:rFonts w:eastAsia="Times New Roman" w:cs="Calibri"/>
                <w:b/>
                <w:bCs/>
                <w:color w:val="000000"/>
                <w:lang w:eastAsia="pt-BR"/>
              </w:rPr>
            </w:pPr>
            <w:r w:rsidRPr="00EC39F2">
              <w:rPr>
                <w:rFonts w:eastAsia="Times New Roman" w:cs="Calibri"/>
                <w:b/>
                <w:bCs/>
                <w:color w:val="FFFFFF" w:themeColor="background1"/>
                <w:lang w:eastAsia="pt-BR"/>
              </w:rPr>
              <w:t xml:space="preserve">                                                  </w:t>
            </w:r>
            <w:r w:rsidR="00ED7F19" w:rsidRPr="00EC39F2">
              <w:rPr>
                <w:rFonts w:eastAsia="Times New Roman" w:cs="Calibri"/>
                <w:b/>
                <w:bCs/>
                <w:color w:val="FFFFFF" w:themeColor="background1"/>
                <w:lang w:eastAsia="pt-BR"/>
              </w:rPr>
              <w:t>ITAÚ BBA</w:t>
            </w:r>
          </w:p>
        </w:tc>
      </w:tr>
      <w:tr w:rsidR="00ED7F19" w:rsidRPr="00EC39F2" w14:paraId="6F6C8111"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5E4C1BF"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 </w:t>
            </w:r>
          </w:p>
        </w:tc>
        <w:tc>
          <w:tcPr>
            <w:tcW w:w="2514" w:type="dxa"/>
            <w:tcBorders>
              <w:top w:val="nil"/>
              <w:left w:val="nil"/>
              <w:bottom w:val="single" w:sz="4" w:space="0" w:color="auto"/>
              <w:right w:val="single" w:sz="4" w:space="0" w:color="auto"/>
            </w:tcBorders>
            <w:shd w:val="clear" w:color="auto" w:fill="auto"/>
            <w:noWrap/>
            <w:vAlign w:val="bottom"/>
            <w:hideMark/>
          </w:tcPr>
          <w:p w14:paraId="73E9A236"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2023</w:t>
            </w:r>
          </w:p>
        </w:tc>
        <w:tc>
          <w:tcPr>
            <w:tcW w:w="2105" w:type="dxa"/>
            <w:tcBorders>
              <w:top w:val="nil"/>
              <w:left w:val="nil"/>
              <w:bottom w:val="single" w:sz="4" w:space="0" w:color="auto"/>
              <w:right w:val="single" w:sz="4" w:space="0" w:color="auto"/>
            </w:tcBorders>
            <w:shd w:val="clear" w:color="auto" w:fill="auto"/>
            <w:noWrap/>
            <w:vAlign w:val="bottom"/>
            <w:hideMark/>
          </w:tcPr>
          <w:p w14:paraId="6500EC0C"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2024</w:t>
            </w:r>
          </w:p>
        </w:tc>
      </w:tr>
      <w:tr w:rsidR="00ED7F19" w:rsidRPr="00EC39F2" w14:paraId="629A6F24"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0A05AEB"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PIB</w:t>
            </w:r>
          </w:p>
        </w:tc>
        <w:tc>
          <w:tcPr>
            <w:tcW w:w="2514" w:type="dxa"/>
            <w:tcBorders>
              <w:top w:val="nil"/>
              <w:left w:val="nil"/>
              <w:bottom w:val="single" w:sz="4" w:space="0" w:color="auto"/>
              <w:right w:val="single" w:sz="4" w:space="0" w:color="auto"/>
            </w:tcBorders>
            <w:shd w:val="clear" w:color="auto" w:fill="auto"/>
            <w:noWrap/>
            <w:vAlign w:val="bottom"/>
            <w:hideMark/>
          </w:tcPr>
          <w:p w14:paraId="12CCB906"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2,90%</w:t>
            </w:r>
          </w:p>
        </w:tc>
        <w:tc>
          <w:tcPr>
            <w:tcW w:w="2105" w:type="dxa"/>
            <w:tcBorders>
              <w:top w:val="nil"/>
              <w:left w:val="nil"/>
              <w:bottom w:val="single" w:sz="4" w:space="0" w:color="auto"/>
              <w:right w:val="single" w:sz="4" w:space="0" w:color="auto"/>
            </w:tcBorders>
            <w:shd w:val="clear" w:color="auto" w:fill="auto"/>
            <w:noWrap/>
            <w:vAlign w:val="bottom"/>
            <w:hideMark/>
          </w:tcPr>
          <w:p w14:paraId="52E2D1E0"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1,80%</w:t>
            </w:r>
          </w:p>
        </w:tc>
      </w:tr>
      <w:tr w:rsidR="00ED7F19" w:rsidRPr="00EC39F2" w14:paraId="7075E383"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9A6A014"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IPCA</w:t>
            </w:r>
          </w:p>
        </w:tc>
        <w:tc>
          <w:tcPr>
            <w:tcW w:w="2514" w:type="dxa"/>
            <w:tcBorders>
              <w:top w:val="nil"/>
              <w:left w:val="nil"/>
              <w:bottom w:val="single" w:sz="4" w:space="0" w:color="auto"/>
              <w:right w:val="single" w:sz="4" w:space="0" w:color="auto"/>
            </w:tcBorders>
            <w:shd w:val="clear" w:color="auto" w:fill="auto"/>
            <w:noWrap/>
            <w:vAlign w:val="bottom"/>
            <w:hideMark/>
          </w:tcPr>
          <w:p w14:paraId="6857FD99"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4,90%</w:t>
            </w:r>
          </w:p>
        </w:tc>
        <w:tc>
          <w:tcPr>
            <w:tcW w:w="2105" w:type="dxa"/>
            <w:tcBorders>
              <w:top w:val="nil"/>
              <w:left w:val="nil"/>
              <w:bottom w:val="single" w:sz="4" w:space="0" w:color="auto"/>
              <w:right w:val="single" w:sz="4" w:space="0" w:color="auto"/>
            </w:tcBorders>
            <w:shd w:val="clear" w:color="auto" w:fill="auto"/>
            <w:noWrap/>
            <w:vAlign w:val="bottom"/>
            <w:hideMark/>
          </w:tcPr>
          <w:p w14:paraId="12A8CAB9"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4,10%</w:t>
            </w:r>
          </w:p>
        </w:tc>
      </w:tr>
      <w:tr w:rsidR="00ED7F19" w:rsidRPr="00EC39F2" w14:paraId="1EB73519" w14:textId="77777777" w:rsidTr="00EC39F2">
        <w:trPr>
          <w:trHeight w:val="182"/>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5A5FD4A"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SELIC</w:t>
            </w:r>
          </w:p>
        </w:tc>
        <w:tc>
          <w:tcPr>
            <w:tcW w:w="2514" w:type="dxa"/>
            <w:tcBorders>
              <w:top w:val="nil"/>
              <w:left w:val="nil"/>
              <w:bottom w:val="single" w:sz="4" w:space="0" w:color="auto"/>
              <w:right w:val="single" w:sz="4" w:space="0" w:color="auto"/>
            </w:tcBorders>
            <w:shd w:val="clear" w:color="auto" w:fill="auto"/>
            <w:noWrap/>
            <w:vAlign w:val="bottom"/>
            <w:hideMark/>
          </w:tcPr>
          <w:p w14:paraId="7BF304E1"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11,50%</w:t>
            </w:r>
          </w:p>
        </w:tc>
        <w:tc>
          <w:tcPr>
            <w:tcW w:w="2105" w:type="dxa"/>
            <w:tcBorders>
              <w:top w:val="nil"/>
              <w:left w:val="nil"/>
              <w:bottom w:val="single" w:sz="4" w:space="0" w:color="auto"/>
              <w:right w:val="single" w:sz="4" w:space="0" w:color="auto"/>
            </w:tcBorders>
            <w:shd w:val="clear" w:color="auto" w:fill="auto"/>
            <w:noWrap/>
            <w:vAlign w:val="bottom"/>
            <w:hideMark/>
          </w:tcPr>
          <w:p w14:paraId="350F1577"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9,00%</w:t>
            </w:r>
          </w:p>
        </w:tc>
      </w:tr>
    </w:tbl>
    <w:p w14:paraId="757CC2C4" w14:textId="77777777" w:rsidR="00ED7F19" w:rsidRPr="00EC39F2" w:rsidRDefault="00ED7F19" w:rsidP="00E208BE">
      <w:pPr>
        <w:autoSpaceDE w:val="0"/>
        <w:autoSpaceDN w:val="0"/>
        <w:adjustRightInd w:val="0"/>
        <w:spacing w:after="0" w:line="360" w:lineRule="auto"/>
        <w:ind w:right="-568" w:firstLine="851"/>
        <w:rPr>
          <w:highlight w:val="yellow"/>
        </w:rPr>
      </w:pPr>
    </w:p>
    <w:tbl>
      <w:tblPr>
        <w:tblW w:w="6480" w:type="dxa"/>
        <w:jc w:val="center"/>
        <w:tblCellMar>
          <w:left w:w="70" w:type="dxa"/>
          <w:right w:w="70" w:type="dxa"/>
        </w:tblCellMar>
        <w:tblLook w:val="04A0" w:firstRow="1" w:lastRow="0" w:firstColumn="1" w:lastColumn="0" w:noHBand="0" w:noVBand="1"/>
      </w:tblPr>
      <w:tblGrid>
        <w:gridCol w:w="1442"/>
        <w:gridCol w:w="2519"/>
        <w:gridCol w:w="2519"/>
      </w:tblGrid>
      <w:tr w:rsidR="00ED7F19" w:rsidRPr="00EC39F2" w14:paraId="59D51308" w14:textId="77777777" w:rsidTr="00EC39F2">
        <w:trPr>
          <w:trHeight w:val="300"/>
          <w:jc w:val="center"/>
        </w:trPr>
        <w:tc>
          <w:tcPr>
            <w:tcW w:w="64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hideMark/>
          </w:tcPr>
          <w:p w14:paraId="4E48CC5E" w14:textId="77777777" w:rsidR="00ED7F19" w:rsidRPr="00EC39F2" w:rsidRDefault="00ED7F19" w:rsidP="00AE0479">
            <w:pPr>
              <w:spacing w:after="0" w:line="240" w:lineRule="auto"/>
              <w:ind w:right="-568" w:firstLine="69"/>
              <w:jc w:val="center"/>
              <w:rPr>
                <w:rFonts w:eastAsia="Times New Roman" w:cs="Calibri"/>
                <w:b/>
                <w:bCs/>
                <w:color w:val="000000"/>
                <w:lang w:eastAsia="pt-BR"/>
              </w:rPr>
            </w:pPr>
            <w:r w:rsidRPr="00EC39F2">
              <w:rPr>
                <w:rFonts w:eastAsia="Times New Roman" w:cs="Calibri"/>
                <w:b/>
                <w:bCs/>
                <w:color w:val="FFFFFF" w:themeColor="background1"/>
                <w:lang w:eastAsia="pt-BR"/>
              </w:rPr>
              <w:t>BANCO MUNDIAL</w:t>
            </w:r>
          </w:p>
        </w:tc>
      </w:tr>
      <w:tr w:rsidR="00ED7F19" w:rsidRPr="00EC39F2" w14:paraId="5444F7EF" w14:textId="77777777" w:rsidTr="001B2929">
        <w:trPr>
          <w:trHeight w:val="300"/>
          <w:jc w:val="center"/>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14:paraId="5E47EE6D"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 </w:t>
            </w:r>
          </w:p>
        </w:tc>
        <w:tc>
          <w:tcPr>
            <w:tcW w:w="2519" w:type="dxa"/>
            <w:tcBorders>
              <w:top w:val="nil"/>
              <w:left w:val="nil"/>
              <w:bottom w:val="single" w:sz="4" w:space="0" w:color="auto"/>
              <w:right w:val="single" w:sz="4" w:space="0" w:color="auto"/>
            </w:tcBorders>
            <w:shd w:val="clear" w:color="auto" w:fill="auto"/>
            <w:noWrap/>
            <w:vAlign w:val="bottom"/>
            <w:hideMark/>
          </w:tcPr>
          <w:p w14:paraId="0892A13F"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2023</w:t>
            </w:r>
          </w:p>
        </w:tc>
        <w:tc>
          <w:tcPr>
            <w:tcW w:w="2519" w:type="dxa"/>
            <w:tcBorders>
              <w:top w:val="nil"/>
              <w:left w:val="nil"/>
              <w:bottom w:val="single" w:sz="4" w:space="0" w:color="auto"/>
              <w:right w:val="single" w:sz="4" w:space="0" w:color="auto"/>
            </w:tcBorders>
            <w:shd w:val="clear" w:color="auto" w:fill="auto"/>
            <w:noWrap/>
            <w:vAlign w:val="bottom"/>
            <w:hideMark/>
          </w:tcPr>
          <w:p w14:paraId="7C409299"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2024</w:t>
            </w:r>
          </w:p>
        </w:tc>
      </w:tr>
      <w:tr w:rsidR="00ED7F19" w:rsidRPr="00EC39F2" w14:paraId="728277BC" w14:textId="77777777" w:rsidTr="00EC39F2">
        <w:trPr>
          <w:trHeight w:val="130"/>
          <w:jc w:val="center"/>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14:paraId="74E86B81"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PIB</w:t>
            </w:r>
          </w:p>
        </w:tc>
        <w:tc>
          <w:tcPr>
            <w:tcW w:w="2519" w:type="dxa"/>
            <w:tcBorders>
              <w:top w:val="nil"/>
              <w:left w:val="nil"/>
              <w:bottom w:val="single" w:sz="4" w:space="0" w:color="auto"/>
              <w:right w:val="single" w:sz="4" w:space="0" w:color="auto"/>
            </w:tcBorders>
            <w:shd w:val="clear" w:color="auto" w:fill="auto"/>
            <w:noWrap/>
            <w:vAlign w:val="bottom"/>
            <w:hideMark/>
          </w:tcPr>
          <w:p w14:paraId="13713258"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2,60%</w:t>
            </w:r>
          </w:p>
        </w:tc>
        <w:tc>
          <w:tcPr>
            <w:tcW w:w="2519" w:type="dxa"/>
            <w:tcBorders>
              <w:top w:val="nil"/>
              <w:left w:val="nil"/>
              <w:bottom w:val="single" w:sz="4" w:space="0" w:color="auto"/>
              <w:right w:val="single" w:sz="4" w:space="0" w:color="auto"/>
            </w:tcBorders>
            <w:shd w:val="clear" w:color="auto" w:fill="auto"/>
            <w:noWrap/>
            <w:vAlign w:val="bottom"/>
            <w:hideMark/>
          </w:tcPr>
          <w:p w14:paraId="78A524D2"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1,30%</w:t>
            </w:r>
          </w:p>
        </w:tc>
      </w:tr>
    </w:tbl>
    <w:p w14:paraId="1238536C" w14:textId="77777777" w:rsidR="00ED7F19" w:rsidRPr="00EC39F2" w:rsidRDefault="00ED7F19" w:rsidP="00E208BE">
      <w:pPr>
        <w:autoSpaceDE w:val="0"/>
        <w:autoSpaceDN w:val="0"/>
        <w:adjustRightInd w:val="0"/>
        <w:spacing w:after="0" w:line="360" w:lineRule="auto"/>
        <w:ind w:right="-568" w:firstLine="851"/>
        <w:rPr>
          <w:highlight w:val="yellow"/>
        </w:rPr>
      </w:pPr>
    </w:p>
    <w:tbl>
      <w:tblPr>
        <w:tblW w:w="6480" w:type="dxa"/>
        <w:jc w:val="center"/>
        <w:tblCellMar>
          <w:left w:w="70" w:type="dxa"/>
          <w:right w:w="70" w:type="dxa"/>
        </w:tblCellMar>
        <w:tblLook w:val="04A0" w:firstRow="1" w:lastRow="0" w:firstColumn="1" w:lastColumn="0" w:noHBand="0" w:noVBand="1"/>
      </w:tblPr>
      <w:tblGrid>
        <w:gridCol w:w="1861"/>
        <w:gridCol w:w="2514"/>
        <w:gridCol w:w="2105"/>
      </w:tblGrid>
      <w:tr w:rsidR="00ED7F19" w:rsidRPr="00EC39F2" w14:paraId="0F53558D" w14:textId="77777777" w:rsidTr="00EC39F2">
        <w:trPr>
          <w:trHeight w:val="300"/>
          <w:jc w:val="center"/>
        </w:trPr>
        <w:tc>
          <w:tcPr>
            <w:tcW w:w="64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hideMark/>
          </w:tcPr>
          <w:p w14:paraId="15E50DE9" w14:textId="77777777" w:rsidR="00ED7F19" w:rsidRPr="00EC39F2" w:rsidRDefault="00ED7F19" w:rsidP="00AE0479">
            <w:pPr>
              <w:spacing w:after="0" w:line="240" w:lineRule="auto"/>
              <w:ind w:right="-568" w:firstLine="1487"/>
              <w:rPr>
                <w:rFonts w:eastAsia="Times New Roman" w:cs="Calibri"/>
                <w:b/>
                <w:bCs/>
                <w:color w:val="000000"/>
                <w:lang w:eastAsia="pt-BR"/>
              </w:rPr>
            </w:pPr>
            <w:r w:rsidRPr="00EC39F2">
              <w:rPr>
                <w:rFonts w:eastAsia="Times New Roman" w:cs="Calibri"/>
                <w:b/>
                <w:bCs/>
                <w:color w:val="FFFFFF" w:themeColor="background1"/>
                <w:lang w:eastAsia="pt-BR"/>
              </w:rPr>
              <w:t xml:space="preserve">BANCO CENTRAL DO BRASIL – BCB </w:t>
            </w:r>
          </w:p>
        </w:tc>
      </w:tr>
      <w:tr w:rsidR="00ED7F19" w:rsidRPr="00EC39F2" w14:paraId="7B9A3D54"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B05B4A7"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 </w:t>
            </w:r>
          </w:p>
        </w:tc>
        <w:tc>
          <w:tcPr>
            <w:tcW w:w="2514" w:type="dxa"/>
            <w:tcBorders>
              <w:top w:val="nil"/>
              <w:left w:val="nil"/>
              <w:bottom w:val="single" w:sz="4" w:space="0" w:color="auto"/>
              <w:right w:val="single" w:sz="4" w:space="0" w:color="auto"/>
            </w:tcBorders>
            <w:shd w:val="clear" w:color="auto" w:fill="auto"/>
            <w:noWrap/>
            <w:vAlign w:val="bottom"/>
            <w:hideMark/>
          </w:tcPr>
          <w:p w14:paraId="74F02782"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2023</w:t>
            </w:r>
          </w:p>
        </w:tc>
        <w:tc>
          <w:tcPr>
            <w:tcW w:w="2105" w:type="dxa"/>
            <w:tcBorders>
              <w:top w:val="nil"/>
              <w:left w:val="nil"/>
              <w:bottom w:val="single" w:sz="4" w:space="0" w:color="auto"/>
              <w:right w:val="single" w:sz="4" w:space="0" w:color="auto"/>
            </w:tcBorders>
            <w:shd w:val="clear" w:color="auto" w:fill="auto"/>
            <w:noWrap/>
            <w:vAlign w:val="bottom"/>
            <w:hideMark/>
          </w:tcPr>
          <w:p w14:paraId="3C2892F3"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2024</w:t>
            </w:r>
          </w:p>
        </w:tc>
      </w:tr>
      <w:tr w:rsidR="00ED7F19" w:rsidRPr="00EC39F2" w14:paraId="514C8851"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72FC38A"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PIB</w:t>
            </w:r>
          </w:p>
        </w:tc>
        <w:tc>
          <w:tcPr>
            <w:tcW w:w="2514" w:type="dxa"/>
            <w:tcBorders>
              <w:top w:val="nil"/>
              <w:left w:val="nil"/>
              <w:bottom w:val="single" w:sz="4" w:space="0" w:color="auto"/>
              <w:right w:val="single" w:sz="4" w:space="0" w:color="auto"/>
            </w:tcBorders>
            <w:shd w:val="clear" w:color="auto" w:fill="auto"/>
            <w:noWrap/>
            <w:vAlign w:val="bottom"/>
            <w:hideMark/>
          </w:tcPr>
          <w:p w14:paraId="2E6D6112"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2,90%</w:t>
            </w:r>
          </w:p>
        </w:tc>
        <w:tc>
          <w:tcPr>
            <w:tcW w:w="2105" w:type="dxa"/>
            <w:tcBorders>
              <w:top w:val="nil"/>
              <w:left w:val="nil"/>
              <w:bottom w:val="single" w:sz="4" w:space="0" w:color="auto"/>
              <w:right w:val="single" w:sz="4" w:space="0" w:color="auto"/>
            </w:tcBorders>
            <w:shd w:val="clear" w:color="auto" w:fill="auto"/>
            <w:noWrap/>
            <w:vAlign w:val="bottom"/>
            <w:hideMark/>
          </w:tcPr>
          <w:p w14:paraId="3531C482"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1,80%</w:t>
            </w:r>
          </w:p>
        </w:tc>
      </w:tr>
      <w:tr w:rsidR="00ED7F19" w:rsidRPr="00EC39F2" w14:paraId="4B4DB0AC"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0166425"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IPCA</w:t>
            </w:r>
          </w:p>
        </w:tc>
        <w:tc>
          <w:tcPr>
            <w:tcW w:w="2514" w:type="dxa"/>
            <w:tcBorders>
              <w:top w:val="nil"/>
              <w:left w:val="nil"/>
              <w:bottom w:val="single" w:sz="4" w:space="0" w:color="auto"/>
              <w:right w:val="single" w:sz="4" w:space="0" w:color="auto"/>
            </w:tcBorders>
            <w:shd w:val="clear" w:color="auto" w:fill="auto"/>
            <w:noWrap/>
            <w:vAlign w:val="bottom"/>
            <w:hideMark/>
          </w:tcPr>
          <w:p w14:paraId="760C9550"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5,00%</w:t>
            </w:r>
          </w:p>
        </w:tc>
        <w:tc>
          <w:tcPr>
            <w:tcW w:w="2105" w:type="dxa"/>
            <w:tcBorders>
              <w:top w:val="nil"/>
              <w:left w:val="nil"/>
              <w:bottom w:val="single" w:sz="4" w:space="0" w:color="auto"/>
              <w:right w:val="single" w:sz="4" w:space="0" w:color="auto"/>
            </w:tcBorders>
            <w:shd w:val="clear" w:color="auto" w:fill="auto"/>
            <w:noWrap/>
            <w:vAlign w:val="bottom"/>
            <w:hideMark/>
          </w:tcPr>
          <w:p w14:paraId="5BC90EE8"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3,50%</w:t>
            </w:r>
          </w:p>
        </w:tc>
      </w:tr>
      <w:tr w:rsidR="00ED7F19" w:rsidRPr="00EC39F2" w14:paraId="28B901E8" w14:textId="77777777" w:rsidTr="00EC39F2">
        <w:trPr>
          <w:trHeight w:val="7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E7FA0E1"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SELIC</w:t>
            </w:r>
          </w:p>
        </w:tc>
        <w:tc>
          <w:tcPr>
            <w:tcW w:w="2514" w:type="dxa"/>
            <w:tcBorders>
              <w:top w:val="nil"/>
              <w:left w:val="nil"/>
              <w:bottom w:val="single" w:sz="4" w:space="0" w:color="auto"/>
              <w:right w:val="single" w:sz="4" w:space="0" w:color="auto"/>
            </w:tcBorders>
            <w:shd w:val="clear" w:color="auto" w:fill="auto"/>
            <w:noWrap/>
            <w:vAlign w:val="bottom"/>
            <w:hideMark/>
          </w:tcPr>
          <w:p w14:paraId="014BD53F"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11,75%</w:t>
            </w:r>
          </w:p>
        </w:tc>
        <w:tc>
          <w:tcPr>
            <w:tcW w:w="2105" w:type="dxa"/>
            <w:tcBorders>
              <w:top w:val="nil"/>
              <w:left w:val="nil"/>
              <w:bottom w:val="single" w:sz="4" w:space="0" w:color="auto"/>
              <w:right w:val="single" w:sz="4" w:space="0" w:color="auto"/>
            </w:tcBorders>
            <w:shd w:val="clear" w:color="auto" w:fill="auto"/>
            <w:noWrap/>
            <w:vAlign w:val="bottom"/>
            <w:hideMark/>
          </w:tcPr>
          <w:p w14:paraId="55408EF4"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9,00%</w:t>
            </w:r>
          </w:p>
        </w:tc>
      </w:tr>
    </w:tbl>
    <w:p w14:paraId="5C8AE95C" w14:textId="77777777" w:rsidR="00ED7F19" w:rsidRPr="00EC39F2" w:rsidRDefault="00ED7F19" w:rsidP="00E208BE">
      <w:pPr>
        <w:autoSpaceDE w:val="0"/>
        <w:autoSpaceDN w:val="0"/>
        <w:adjustRightInd w:val="0"/>
        <w:spacing w:after="0" w:line="360" w:lineRule="auto"/>
        <w:ind w:right="-568" w:firstLine="851"/>
        <w:rPr>
          <w:highlight w:val="yellow"/>
        </w:rPr>
      </w:pPr>
    </w:p>
    <w:tbl>
      <w:tblPr>
        <w:tblW w:w="6480" w:type="dxa"/>
        <w:jc w:val="center"/>
        <w:tblCellMar>
          <w:left w:w="70" w:type="dxa"/>
          <w:right w:w="70" w:type="dxa"/>
        </w:tblCellMar>
        <w:tblLook w:val="04A0" w:firstRow="1" w:lastRow="0" w:firstColumn="1" w:lastColumn="0" w:noHBand="0" w:noVBand="1"/>
      </w:tblPr>
      <w:tblGrid>
        <w:gridCol w:w="1861"/>
        <w:gridCol w:w="2514"/>
        <w:gridCol w:w="2105"/>
      </w:tblGrid>
      <w:tr w:rsidR="00ED7F19" w:rsidRPr="00EC39F2" w14:paraId="7A4A9320" w14:textId="77777777" w:rsidTr="00EC39F2">
        <w:trPr>
          <w:trHeight w:val="300"/>
          <w:jc w:val="center"/>
        </w:trPr>
        <w:tc>
          <w:tcPr>
            <w:tcW w:w="648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hideMark/>
          </w:tcPr>
          <w:p w14:paraId="58276495"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FFFFFF" w:themeColor="background1"/>
                <w:lang w:eastAsia="pt-BR"/>
              </w:rPr>
              <w:t xml:space="preserve">BOLETIM FOCUS DO BANCO CENTRAL – 29/09/2023 </w:t>
            </w:r>
          </w:p>
        </w:tc>
      </w:tr>
      <w:tr w:rsidR="00ED7F19" w:rsidRPr="00EC39F2" w14:paraId="489A438F"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9FB1B27"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 </w:t>
            </w:r>
          </w:p>
        </w:tc>
        <w:tc>
          <w:tcPr>
            <w:tcW w:w="2514" w:type="dxa"/>
            <w:tcBorders>
              <w:top w:val="nil"/>
              <w:left w:val="nil"/>
              <w:bottom w:val="single" w:sz="4" w:space="0" w:color="auto"/>
              <w:right w:val="single" w:sz="4" w:space="0" w:color="auto"/>
            </w:tcBorders>
            <w:shd w:val="clear" w:color="auto" w:fill="auto"/>
            <w:noWrap/>
            <w:vAlign w:val="bottom"/>
            <w:hideMark/>
          </w:tcPr>
          <w:p w14:paraId="514D69A1"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2023</w:t>
            </w:r>
          </w:p>
        </w:tc>
        <w:tc>
          <w:tcPr>
            <w:tcW w:w="2105" w:type="dxa"/>
            <w:tcBorders>
              <w:top w:val="nil"/>
              <w:left w:val="nil"/>
              <w:bottom w:val="single" w:sz="4" w:space="0" w:color="auto"/>
              <w:right w:val="single" w:sz="4" w:space="0" w:color="auto"/>
            </w:tcBorders>
            <w:shd w:val="clear" w:color="auto" w:fill="auto"/>
            <w:noWrap/>
            <w:vAlign w:val="bottom"/>
            <w:hideMark/>
          </w:tcPr>
          <w:p w14:paraId="21DA23C0"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2024</w:t>
            </w:r>
          </w:p>
        </w:tc>
      </w:tr>
      <w:tr w:rsidR="00ED7F19" w:rsidRPr="00EC39F2" w14:paraId="31F61167" w14:textId="77777777" w:rsidTr="00EC39F2">
        <w:trPr>
          <w:trHeight w:val="232"/>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11E9160"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PIB</w:t>
            </w:r>
          </w:p>
        </w:tc>
        <w:tc>
          <w:tcPr>
            <w:tcW w:w="2514" w:type="dxa"/>
            <w:tcBorders>
              <w:top w:val="nil"/>
              <w:left w:val="nil"/>
              <w:bottom w:val="single" w:sz="4" w:space="0" w:color="auto"/>
              <w:right w:val="single" w:sz="4" w:space="0" w:color="auto"/>
            </w:tcBorders>
            <w:shd w:val="clear" w:color="auto" w:fill="auto"/>
            <w:noWrap/>
            <w:vAlign w:val="bottom"/>
            <w:hideMark/>
          </w:tcPr>
          <w:p w14:paraId="6CBBF434"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2,92%</w:t>
            </w:r>
          </w:p>
        </w:tc>
        <w:tc>
          <w:tcPr>
            <w:tcW w:w="2105" w:type="dxa"/>
            <w:tcBorders>
              <w:top w:val="nil"/>
              <w:left w:val="nil"/>
              <w:bottom w:val="single" w:sz="4" w:space="0" w:color="auto"/>
              <w:right w:val="single" w:sz="4" w:space="0" w:color="auto"/>
            </w:tcBorders>
            <w:shd w:val="clear" w:color="auto" w:fill="auto"/>
            <w:noWrap/>
            <w:vAlign w:val="bottom"/>
            <w:hideMark/>
          </w:tcPr>
          <w:p w14:paraId="0194510D"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4,50%</w:t>
            </w:r>
          </w:p>
        </w:tc>
      </w:tr>
      <w:tr w:rsidR="00ED7F19" w:rsidRPr="00EC39F2" w14:paraId="33F93DA2"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806604E"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IPCA</w:t>
            </w:r>
          </w:p>
        </w:tc>
        <w:tc>
          <w:tcPr>
            <w:tcW w:w="2514" w:type="dxa"/>
            <w:tcBorders>
              <w:top w:val="nil"/>
              <w:left w:val="nil"/>
              <w:bottom w:val="single" w:sz="4" w:space="0" w:color="auto"/>
              <w:right w:val="single" w:sz="4" w:space="0" w:color="auto"/>
            </w:tcBorders>
            <w:shd w:val="clear" w:color="auto" w:fill="auto"/>
            <w:noWrap/>
            <w:vAlign w:val="bottom"/>
            <w:hideMark/>
          </w:tcPr>
          <w:p w14:paraId="37A9650B"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4,86%</w:t>
            </w:r>
          </w:p>
        </w:tc>
        <w:tc>
          <w:tcPr>
            <w:tcW w:w="2105" w:type="dxa"/>
            <w:tcBorders>
              <w:top w:val="nil"/>
              <w:left w:val="nil"/>
              <w:bottom w:val="single" w:sz="4" w:space="0" w:color="auto"/>
              <w:right w:val="single" w:sz="4" w:space="0" w:color="auto"/>
            </w:tcBorders>
            <w:shd w:val="clear" w:color="auto" w:fill="auto"/>
            <w:noWrap/>
            <w:vAlign w:val="bottom"/>
            <w:hideMark/>
          </w:tcPr>
          <w:p w14:paraId="78962AEA"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3,87%</w:t>
            </w:r>
          </w:p>
        </w:tc>
      </w:tr>
      <w:tr w:rsidR="00ED7F19" w:rsidRPr="00EC39F2" w14:paraId="7F7BBD74" w14:textId="77777777" w:rsidTr="00ED7F19">
        <w:trPr>
          <w:trHeight w:val="300"/>
          <w:jc w:val="center"/>
        </w:trPr>
        <w:tc>
          <w:tcPr>
            <w:tcW w:w="1861" w:type="dxa"/>
            <w:tcBorders>
              <w:top w:val="nil"/>
              <w:left w:val="single" w:sz="4" w:space="0" w:color="auto"/>
              <w:bottom w:val="nil"/>
              <w:right w:val="single" w:sz="4" w:space="0" w:color="auto"/>
            </w:tcBorders>
            <w:shd w:val="clear" w:color="auto" w:fill="auto"/>
            <w:noWrap/>
            <w:vAlign w:val="bottom"/>
            <w:hideMark/>
          </w:tcPr>
          <w:p w14:paraId="7BBE359B" w14:textId="77777777" w:rsidR="00ED7F19" w:rsidRPr="00EC39F2" w:rsidRDefault="00ED7F19" w:rsidP="00E208BE">
            <w:pPr>
              <w:spacing w:after="0" w:line="240" w:lineRule="auto"/>
              <w:ind w:right="-568" w:firstLine="851"/>
              <w:rPr>
                <w:rFonts w:eastAsia="Times New Roman" w:cs="Calibri"/>
                <w:b/>
                <w:bCs/>
                <w:color w:val="000000"/>
                <w:lang w:eastAsia="pt-BR"/>
              </w:rPr>
            </w:pPr>
            <w:r w:rsidRPr="00EC39F2">
              <w:rPr>
                <w:rFonts w:eastAsia="Times New Roman" w:cs="Calibri"/>
                <w:b/>
                <w:bCs/>
                <w:color w:val="000000"/>
                <w:lang w:eastAsia="pt-BR"/>
              </w:rPr>
              <w:t>SELIC</w:t>
            </w:r>
          </w:p>
        </w:tc>
        <w:tc>
          <w:tcPr>
            <w:tcW w:w="2514" w:type="dxa"/>
            <w:tcBorders>
              <w:top w:val="nil"/>
              <w:left w:val="nil"/>
              <w:bottom w:val="nil"/>
              <w:right w:val="single" w:sz="4" w:space="0" w:color="auto"/>
            </w:tcBorders>
            <w:shd w:val="clear" w:color="auto" w:fill="auto"/>
            <w:noWrap/>
            <w:vAlign w:val="bottom"/>
            <w:hideMark/>
          </w:tcPr>
          <w:p w14:paraId="4B1B7FA2"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11,75%</w:t>
            </w:r>
          </w:p>
        </w:tc>
        <w:tc>
          <w:tcPr>
            <w:tcW w:w="2105" w:type="dxa"/>
            <w:tcBorders>
              <w:top w:val="nil"/>
              <w:left w:val="nil"/>
              <w:bottom w:val="nil"/>
              <w:right w:val="single" w:sz="4" w:space="0" w:color="auto"/>
            </w:tcBorders>
            <w:shd w:val="clear" w:color="auto" w:fill="auto"/>
            <w:noWrap/>
            <w:vAlign w:val="bottom"/>
            <w:hideMark/>
          </w:tcPr>
          <w:p w14:paraId="78FC3B4C" w14:textId="77777777" w:rsidR="00ED7F19" w:rsidRPr="00EC39F2" w:rsidRDefault="00ED7F19" w:rsidP="00E208BE">
            <w:pPr>
              <w:spacing w:after="0" w:line="240" w:lineRule="auto"/>
              <w:ind w:right="-568" w:firstLine="851"/>
              <w:rPr>
                <w:rFonts w:eastAsia="Times New Roman" w:cs="Calibri"/>
                <w:color w:val="000000"/>
                <w:lang w:eastAsia="pt-BR"/>
              </w:rPr>
            </w:pPr>
            <w:r w:rsidRPr="00EC39F2">
              <w:rPr>
                <w:rFonts w:eastAsia="Times New Roman" w:cs="Calibri"/>
                <w:color w:val="000000"/>
                <w:lang w:eastAsia="pt-BR"/>
              </w:rPr>
              <w:t>9,00%</w:t>
            </w:r>
          </w:p>
        </w:tc>
      </w:tr>
      <w:tr w:rsidR="00ED7F19" w:rsidRPr="00F540E3" w14:paraId="4C63272A" w14:textId="77777777" w:rsidTr="00EC39F2">
        <w:trPr>
          <w:trHeight w:val="80"/>
          <w:jc w:val="center"/>
        </w:trPr>
        <w:tc>
          <w:tcPr>
            <w:tcW w:w="1861" w:type="dxa"/>
            <w:tcBorders>
              <w:top w:val="nil"/>
              <w:left w:val="single" w:sz="4" w:space="0" w:color="auto"/>
              <w:bottom w:val="single" w:sz="4" w:space="0" w:color="auto"/>
              <w:right w:val="single" w:sz="4" w:space="0" w:color="auto"/>
            </w:tcBorders>
            <w:shd w:val="clear" w:color="auto" w:fill="auto"/>
            <w:noWrap/>
            <w:vAlign w:val="bottom"/>
          </w:tcPr>
          <w:p w14:paraId="5128CD7C" w14:textId="77777777" w:rsidR="00ED7F19" w:rsidRPr="00EC39F2" w:rsidRDefault="00ED7F19" w:rsidP="00E208BE">
            <w:pPr>
              <w:spacing w:after="0" w:line="240" w:lineRule="auto"/>
              <w:ind w:right="-568" w:firstLine="851"/>
              <w:rPr>
                <w:rFonts w:eastAsia="Times New Roman" w:cs="Calibri"/>
                <w:b/>
                <w:bCs/>
                <w:color w:val="000000"/>
                <w:sz w:val="20"/>
                <w:szCs w:val="20"/>
                <w:lang w:eastAsia="pt-BR"/>
              </w:rPr>
            </w:pPr>
          </w:p>
        </w:tc>
        <w:tc>
          <w:tcPr>
            <w:tcW w:w="2514" w:type="dxa"/>
            <w:tcBorders>
              <w:top w:val="nil"/>
              <w:left w:val="nil"/>
              <w:bottom w:val="single" w:sz="4" w:space="0" w:color="auto"/>
              <w:right w:val="single" w:sz="4" w:space="0" w:color="auto"/>
            </w:tcBorders>
            <w:shd w:val="clear" w:color="auto" w:fill="auto"/>
            <w:noWrap/>
            <w:vAlign w:val="bottom"/>
          </w:tcPr>
          <w:p w14:paraId="255FE0FF" w14:textId="77777777" w:rsidR="00ED7F19" w:rsidRPr="00EC39F2" w:rsidRDefault="00ED7F19" w:rsidP="00E208BE">
            <w:pPr>
              <w:spacing w:after="0" w:line="240" w:lineRule="auto"/>
              <w:ind w:right="-568" w:firstLine="851"/>
              <w:rPr>
                <w:rFonts w:eastAsia="Times New Roman" w:cs="Calibri"/>
                <w:color w:val="000000"/>
                <w:sz w:val="20"/>
                <w:szCs w:val="20"/>
                <w:lang w:eastAsia="pt-BR"/>
              </w:rPr>
            </w:pPr>
          </w:p>
        </w:tc>
        <w:tc>
          <w:tcPr>
            <w:tcW w:w="2105" w:type="dxa"/>
            <w:tcBorders>
              <w:top w:val="nil"/>
              <w:left w:val="nil"/>
              <w:bottom w:val="single" w:sz="4" w:space="0" w:color="auto"/>
              <w:right w:val="single" w:sz="4" w:space="0" w:color="auto"/>
            </w:tcBorders>
            <w:shd w:val="clear" w:color="auto" w:fill="auto"/>
            <w:noWrap/>
            <w:vAlign w:val="bottom"/>
          </w:tcPr>
          <w:p w14:paraId="6A474D08" w14:textId="77777777" w:rsidR="00ED7F19" w:rsidRPr="00EC39F2" w:rsidRDefault="00ED7F19" w:rsidP="00E208BE">
            <w:pPr>
              <w:spacing w:after="0" w:line="240" w:lineRule="auto"/>
              <w:ind w:right="-568" w:firstLine="851"/>
              <w:rPr>
                <w:rFonts w:eastAsia="Times New Roman" w:cs="Calibri"/>
                <w:color w:val="000000"/>
                <w:sz w:val="20"/>
                <w:szCs w:val="20"/>
                <w:lang w:eastAsia="pt-BR"/>
              </w:rPr>
            </w:pPr>
          </w:p>
        </w:tc>
      </w:tr>
    </w:tbl>
    <w:p w14:paraId="0F0A3AC0" w14:textId="1F05E7EC" w:rsid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highlight w:val="red"/>
          <w:lang w:eastAsia="pt-BR"/>
        </w:rPr>
      </w:pPr>
      <w:r>
        <w:rPr>
          <w:noProof/>
        </w:rPr>
        <w:drawing>
          <wp:inline distT="0" distB="0" distL="0" distR="0" wp14:anchorId="409F1696" wp14:editId="2D8ED683">
            <wp:extent cx="4118293" cy="2005012"/>
            <wp:effectExtent l="0" t="0" r="15875" b="14605"/>
            <wp:docPr id="557784666" name="Gráfico 1">
              <a:extLst xmlns:a="http://schemas.openxmlformats.org/drawingml/2006/main">
                <a:ext uri="{FF2B5EF4-FFF2-40B4-BE49-F238E27FC236}">
                  <a16:creationId xmlns:a16="http://schemas.microsoft.com/office/drawing/2014/main" id="{2D577782-9BAA-4122-8B9C-23E048FE1C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B03F0D" w14:textId="77777777" w:rsidR="00ED7F19" w:rsidRPr="003777F7" w:rsidRDefault="00ED7F19" w:rsidP="00B03275">
      <w:pPr>
        <w:autoSpaceDE w:val="0"/>
        <w:autoSpaceDN w:val="0"/>
        <w:adjustRightInd w:val="0"/>
        <w:spacing w:after="0" w:line="360" w:lineRule="auto"/>
        <w:ind w:right="-568" w:firstLine="851"/>
        <w:jc w:val="both"/>
        <w:rPr>
          <w:rFonts w:cs="Calibri"/>
          <w:sz w:val="24"/>
          <w:szCs w:val="24"/>
          <w:lang w:eastAsia="pt-BR"/>
        </w:rPr>
      </w:pPr>
      <w:r w:rsidRPr="003777F7">
        <w:rPr>
          <w:rFonts w:cs="Calibri"/>
          <w:sz w:val="24"/>
          <w:szCs w:val="24"/>
          <w:lang w:eastAsia="pt-BR"/>
        </w:rPr>
        <w:lastRenderedPageBreak/>
        <w:t xml:space="preserve">Com 64,13% de certeza, o IPCA em 2024 tende a seguir uma trajetória assimétrica para baixo. A expectativa é de </w:t>
      </w:r>
      <w:r>
        <w:rPr>
          <w:rFonts w:cs="Calibri"/>
          <w:sz w:val="24"/>
          <w:szCs w:val="24"/>
          <w:lang w:eastAsia="pt-BR"/>
        </w:rPr>
        <w:t>3</w:t>
      </w:r>
      <w:r w:rsidRPr="003777F7">
        <w:rPr>
          <w:rFonts w:cs="Calibri"/>
          <w:sz w:val="24"/>
          <w:szCs w:val="24"/>
          <w:lang w:eastAsia="pt-BR"/>
        </w:rPr>
        <w:t>,</w:t>
      </w:r>
      <w:r>
        <w:rPr>
          <w:rFonts w:cs="Calibri"/>
          <w:sz w:val="24"/>
          <w:szCs w:val="24"/>
          <w:lang w:eastAsia="pt-BR"/>
        </w:rPr>
        <w:t>80</w:t>
      </w:r>
      <w:r w:rsidRPr="003777F7">
        <w:rPr>
          <w:rFonts w:cs="Calibri"/>
          <w:sz w:val="24"/>
          <w:szCs w:val="24"/>
          <w:lang w:eastAsia="pt-BR"/>
        </w:rPr>
        <w:t>% considerando o impacto inercial baixista</w:t>
      </w:r>
      <w:r>
        <w:rPr>
          <w:rFonts w:cs="Calibri"/>
          <w:sz w:val="24"/>
          <w:szCs w:val="24"/>
          <w:lang w:eastAsia="pt-BR"/>
        </w:rPr>
        <w:t>.</w:t>
      </w:r>
    </w:p>
    <w:p w14:paraId="512293B3" w14:textId="77777777" w:rsid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highlight w:val="red"/>
          <w:lang w:eastAsia="pt-BR"/>
        </w:rPr>
      </w:pPr>
    </w:p>
    <w:p w14:paraId="42C4F91E" w14:textId="1995C340" w:rsid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highlight w:val="red"/>
          <w:lang w:eastAsia="pt-BR"/>
        </w:rPr>
      </w:pPr>
      <w:r>
        <w:rPr>
          <w:noProof/>
        </w:rPr>
        <w:drawing>
          <wp:inline distT="0" distB="0" distL="0" distR="0" wp14:anchorId="21702F71" wp14:editId="46450BA2">
            <wp:extent cx="4510723" cy="2333625"/>
            <wp:effectExtent l="0" t="0" r="4445" b="9525"/>
            <wp:docPr id="1878014104" name="Gráfico 1">
              <a:extLst xmlns:a="http://schemas.openxmlformats.org/drawingml/2006/main">
                <a:ext uri="{FF2B5EF4-FFF2-40B4-BE49-F238E27FC236}">
                  <a16:creationId xmlns:a16="http://schemas.microsoft.com/office/drawing/2014/main" id="{2F0CDB48-CE02-4AC3-B584-1E826FC5E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75EBA5" w14:textId="7AAECD58" w:rsid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Com 98,97% de certeza, a SELIC em 2024 deve seguir sua trajetória de queda, seguindo para a previsão de 9%, confirmando o fim do aperto monetário.  A expectativa é de corte de 0,5% a cada Reunião do Copom.</w:t>
      </w:r>
    </w:p>
    <w:p w14:paraId="0A22576B" w14:textId="628065A8" w:rsid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highlight w:val="red"/>
          <w:lang w:eastAsia="pt-BR"/>
        </w:rPr>
      </w:pPr>
      <w:r>
        <w:rPr>
          <w:noProof/>
        </w:rPr>
        <w:drawing>
          <wp:inline distT="0" distB="0" distL="0" distR="0" wp14:anchorId="72C8CA4D" wp14:editId="1CEEB857">
            <wp:extent cx="4394200" cy="2333625"/>
            <wp:effectExtent l="0" t="0" r="6350" b="9525"/>
            <wp:docPr id="999279996" name="Gráfico 1">
              <a:extLst xmlns:a="http://schemas.openxmlformats.org/drawingml/2006/main">
                <a:ext uri="{FF2B5EF4-FFF2-40B4-BE49-F238E27FC236}">
                  <a16:creationId xmlns:a16="http://schemas.microsoft.com/office/drawing/2014/main" id="{8A2E89C5-680C-47BC-9B90-CFE092ECE2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BA760E" w14:textId="464398E1" w:rsid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No gráfico do IPCA contra SELIC, verifica-se que há controle inflacionário, todavia, fora da meta estabelecida pelo Copom em 2023.</w:t>
      </w:r>
    </w:p>
    <w:p w14:paraId="4BD4134C" w14:textId="21F51F5B" w:rsid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highlight w:val="red"/>
          <w:lang w:eastAsia="pt-BR"/>
        </w:rPr>
      </w:pPr>
      <w:r>
        <w:rPr>
          <w:noProof/>
        </w:rPr>
        <w:lastRenderedPageBreak/>
        <w:drawing>
          <wp:inline distT="0" distB="0" distL="0" distR="0" wp14:anchorId="53C0AA3E" wp14:editId="18425FC7">
            <wp:extent cx="3917315" cy="2286000"/>
            <wp:effectExtent l="0" t="0" r="6985" b="0"/>
            <wp:docPr id="1337238750" name="Gráfico 1">
              <a:extLst xmlns:a="http://schemas.openxmlformats.org/drawingml/2006/main">
                <a:ext uri="{FF2B5EF4-FFF2-40B4-BE49-F238E27FC236}">
                  <a16:creationId xmlns:a16="http://schemas.microsoft.com/office/drawing/2014/main" id="{027B1E47-6DAB-472A-961E-AF8439A4B6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C7B4E4" w14:textId="4DB00F64" w:rsid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Com 66,74% de certeza, após uma reversão de cenário sobre a desaceleração do PIB em 2023, estima-se um crescimento de 1,63% em 2024 frente as condições da demanda global.</w:t>
      </w:r>
    </w:p>
    <w:p w14:paraId="60906340" w14:textId="1E3C6EE9" w:rsid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highlight w:val="red"/>
          <w:lang w:eastAsia="pt-BR"/>
        </w:rPr>
      </w:pPr>
      <w:r>
        <w:rPr>
          <w:noProof/>
        </w:rPr>
        <w:drawing>
          <wp:inline distT="0" distB="0" distL="0" distR="0" wp14:anchorId="0F77A043" wp14:editId="1AA0C732">
            <wp:extent cx="4574540" cy="2006418"/>
            <wp:effectExtent l="0" t="0" r="16510" b="13335"/>
            <wp:docPr id="525145104" name="Gráfico 1">
              <a:extLst xmlns:a="http://schemas.openxmlformats.org/drawingml/2006/main">
                <a:ext uri="{FF2B5EF4-FFF2-40B4-BE49-F238E27FC236}">
                  <a16:creationId xmlns:a16="http://schemas.microsoft.com/office/drawing/2014/main" id="{32BEDB06-5816-4DC5-922A-0B116372F8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D8CA38"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Com 36,10% de certeza, deverá ocorrer a manutenção da taxa de câmbio em R$ 5,25 para 2024. Trata-se de uma variável bastante volátil e que enfrenta um cenário global desafiador, sendo provável afirmar um aumento na paridade Real/Dólar para 2023 em torno de R$ 5,00.</w:t>
      </w:r>
    </w:p>
    <w:p w14:paraId="6E2BE1C7" w14:textId="31D29F0F" w:rsid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De modo sintético, seguem as projeções para as variáveis PIB, IPCA e SELIC da Infinity Consultoria:</w:t>
      </w:r>
    </w:p>
    <w:tbl>
      <w:tblPr>
        <w:tblW w:w="6480" w:type="dxa"/>
        <w:jc w:val="center"/>
        <w:tblCellMar>
          <w:left w:w="70" w:type="dxa"/>
          <w:right w:w="70" w:type="dxa"/>
        </w:tblCellMar>
        <w:tblLook w:val="04A0" w:firstRow="1" w:lastRow="0" w:firstColumn="1" w:lastColumn="0" w:noHBand="0" w:noVBand="1"/>
      </w:tblPr>
      <w:tblGrid>
        <w:gridCol w:w="1861"/>
        <w:gridCol w:w="2514"/>
        <w:gridCol w:w="2105"/>
      </w:tblGrid>
      <w:tr w:rsidR="00ED7F19" w:rsidRPr="00202A1A" w14:paraId="7A32F054" w14:textId="77777777" w:rsidTr="001B2929">
        <w:trPr>
          <w:trHeight w:val="300"/>
          <w:jc w:val="center"/>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678BE" w14:textId="77777777" w:rsidR="00ED7F19" w:rsidRPr="00202A1A" w:rsidRDefault="00ED7F19" w:rsidP="003210F2">
            <w:pPr>
              <w:spacing w:after="0" w:line="240" w:lineRule="auto"/>
              <w:ind w:right="-568" w:hanging="782"/>
              <w:jc w:val="center"/>
              <w:rPr>
                <w:rFonts w:eastAsia="Times New Roman" w:cs="Calibri"/>
                <w:b/>
                <w:bCs/>
                <w:color w:val="000000"/>
                <w:lang w:eastAsia="pt-BR"/>
              </w:rPr>
            </w:pPr>
            <w:r w:rsidRPr="00202A1A">
              <w:rPr>
                <w:rFonts w:eastAsia="Times New Roman" w:cs="Calibri"/>
                <w:b/>
                <w:bCs/>
                <w:color w:val="000000"/>
                <w:lang w:eastAsia="pt-BR"/>
              </w:rPr>
              <w:t>INFINITY</w:t>
            </w:r>
          </w:p>
        </w:tc>
      </w:tr>
      <w:tr w:rsidR="00ED7F19" w:rsidRPr="00202A1A" w14:paraId="34A8CBF4"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F3AC885" w14:textId="77777777" w:rsidR="00ED7F19" w:rsidRPr="00202A1A" w:rsidRDefault="00ED7F19" w:rsidP="00B03275">
            <w:pPr>
              <w:spacing w:after="0" w:line="240" w:lineRule="auto"/>
              <w:ind w:right="-568" w:firstLine="851"/>
              <w:rPr>
                <w:rFonts w:eastAsia="Times New Roman" w:cs="Calibri"/>
                <w:color w:val="000000"/>
                <w:lang w:eastAsia="pt-BR"/>
              </w:rPr>
            </w:pPr>
            <w:r w:rsidRPr="00202A1A">
              <w:rPr>
                <w:rFonts w:eastAsia="Times New Roman" w:cs="Calibri"/>
                <w:color w:val="000000"/>
                <w:lang w:eastAsia="pt-BR"/>
              </w:rPr>
              <w:t> </w:t>
            </w:r>
          </w:p>
        </w:tc>
        <w:tc>
          <w:tcPr>
            <w:tcW w:w="2514" w:type="dxa"/>
            <w:tcBorders>
              <w:top w:val="nil"/>
              <w:left w:val="nil"/>
              <w:bottom w:val="single" w:sz="4" w:space="0" w:color="auto"/>
              <w:right w:val="single" w:sz="4" w:space="0" w:color="auto"/>
            </w:tcBorders>
            <w:shd w:val="clear" w:color="auto" w:fill="auto"/>
            <w:noWrap/>
            <w:vAlign w:val="bottom"/>
            <w:hideMark/>
          </w:tcPr>
          <w:p w14:paraId="5D2B4F7C" w14:textId="77777777" w:rsidR="00ED7F19" w:rsidRPr="00202A1A" w:rsidRDefault="00ED7F19" w:rsidP="003210F2">
            <w:pPr>
              <w:spacing w:after="0" w:line="240" w:lineRule="auto"/>
              <w:ind w:right="-568" w:firstLine="851"/>
              <w:rPr>
                <w:rFonts w:eastAsia="Times New Roman" w:cs="Calibri"/>
                <w:b/>
                <w:bCs/>
                <w:color w:val="000000"/>
                <w:lang w:eastAsia="pt-BR"/>
              </w:rPr>
            </w:pPr>
            <w:r w:rsidRPr="00202A1A">
              <w:rPr>
                <w:rFonts w:eastAsia="Times New Roman" w:cs="Calibri"/>
                <w:b/>
                <w:bCs/>
                <w:color w:val="000000"/>
                <w:lang w:eastAsia="pt-BR"/>
              </w:rPr>
              <w:t>2023</w:t>
            </w:r>
          </w:p>
        </w:tc>
        <w:tc>
          <w:tcPr>
            <w:tcW w:w="2105" w:type="dxa"/>
            <w:tcBorders>
              <w:top w:val="nil"/>
              <w:left w:val="nil"/>
              <w:bottom w:val="single" w:sz="4" w:space="0" w:color="auto"/>
              <w:right w:val="single" w:sz="4" w:space="0" w:color="auto"/>
            </w:tcBorders>
            <w:shd w:val="clear" w:color="auto" w:fill="auto"/>
            <w:noWrap/>
            <w:vAlign w:val="bottom"/>
            <w:hideMark/>
          </w:tcPr>
          <w:p w14:paraId="61953896" w14:textId="77777777" w:rsidR="00ED7F19" w:rsidRPr="00202A1A" w:rsidRDefault="00ED7F19" w:rsidP="003210F2">
            <w:pPr>
              <w:spacing w:after="0" w:line="240" w:lineRule="auto"/>
              <w:ind w:right="-568" w:firstLine="851"/>
              <w:rPr>
                <w:rFonts w:eastAsia="Times New Roman" w:cs="Calibri"/>
                <w:b/>
                <w:bCs/>
                <w:color w:val="000000"/>
                <w:lang w:eastAsia="pt-BR"/>
              </w:rPr>
            </w:pPr>
            <w:r w:rsidRPr="00202A1A">
              <w:rPr>
                <w:rFonts w:eastAsia="Times New Roman" w:cs="Calibri"/>
                <w:b/>
                <w:bCs/>
                <w:color w:val="000000"/>
                <w:lang w:eastAsia="pt-BR"/>
              </w:rPr>
              <w:t>2024</w:t>
            </w:r>
          </w:p>
        </w:tc>
      </w:tr>
      <w:tr w:rsidR="00ED7F19" w:rsidRPr="00202A1A" w14:paraId="15A238D0"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AA513FA" w14:textId="77777777" w:rsidR="00ED7F19" w:rsidRPr="00202A1A" w:rsidRDefault="00ED7F19" w:rsidP="00B03275">
            <w:pPr>
              <w:spacing w:after="0" w:line="240" w:lineRule="auto"/>
              <w:ind w:right="-568" w:firstLine="851"/>
              <w:rPr>
                <w:rFonts w:eastAsia="Times New Roman" w:cs="Calibri"/>
                <w:b/>
                <w:bCs/>
                <w:color w:val="000000"/>
                <w:lang w:eastAsia="pt-BR"/>
              </w:rPr>
            </w:pPr>
            <w:r w:rsidRPr="00202A1A">
              <w:rPr>
                <w:rFonts w:eastAsia="Times New Roman" w:cs="Calibri"/>
                <w:b/>
                <w:bCs/>
                <w:color w:val="000000"/>
                <w:lang w:eastAsia="pt-BR"/>
              </w:rPr>
              <w:t>PIB</w:t>
            </w:r>
          </w:p>
        </w:tc>
        <w:tc>
          <w:tcPr>
            <w:tcW w:w="2514" w:type="dxa"/>
            <w:tcBorders>
              <w:top w:val="nil"/>
              <w:left w:val="nil"/>
              <w:bottom w:val="single" w:sz="4" w:space="0" w:color="auto"/>
              <w:right w:val="single" w:sz="4" w:space="0" w:color="auto"/>
            </w:tcBorders>
            <w:shd w:val="clear" w:color="auto" w:fill="auto"/>
            <w:noWrap/>
            <w:vAlign w:val="bottom"/>
            <w:hideMark/>
          </w:tcPr>
          <w:p w14:paraId="39FC2A79" w14:textId="77777777" w:rsidR="00ED7F19" w:rsidRPr="00202A1A" w:rsidRDefault="00ED7F19" w:rsidP="003210F2">
            <w:pPr>
              <w:spacing w:after="0" w:line="240" w:lineRule="auto"/>
              <w:ind w:right="-568" w:firstLine="851"/>
              <w:rPr>
                <w:rFonts w:eastAsia="Times New Roman" w:cs="Calibri"/>
                <w:color w:val="000000"/>
                <w:lang w:eastAsia="pt-BR"/>
              </w:rPr>
            </w:pPr>
            <w:r w:rsidRPr="00202A1A">
              <w:rPr>
                <w:rFonts w:eastAsia="Times New Roman" w:cs="Calibri"/>
                <w:color w:val="000000"/>
                <w:lang w:eastAsia="pt-BR"/>
              </w:rPr>
              <w:t>2,80%</w:t>
            </w:r>
          </w:p>
        </w:tc>
        <w:tc>
          <w:tcPr>
            <w:tcW w:w="2105" w:type="dxa"/>
            <w:tcBorders>
              <w:top w:val="nil"/>
              <w:left w:val="nil"/>
              <w:bottom w:val="single" w:sz="4" w:space="0" w:color="auto"/>
              <w:right w:val="single" w:sz="4" w:space="0" w:color="auto"/>
            </w:tcBorders>
            <w:shd w:val="clear" w:color="auto" w:fill="auto"/>
            <w:noWrap/>
            <w:vAlign w:val="bottom"/>
            <w:hideMark/>
          </w:tcPr>
          <w:p w14:paraId="19F636D5" w14:textId="77777777" w:rsidR="00ED7F19" w:rsidRPr="00202A1A" w:rsidRDefault="00ED7F19" w:rsidP="003210F2">
            <w:pPr>
              <w:spacing w:after="0" w:line="240" w:lineRule="auto"/>
              <w:ind w:right="-568" w:firstLine="851"/>
              <w:rPr>
                <w:rFonts w:eastAsia="Times New Roman" w:cs="Calibri"/>
                <w:color w:val="000000"/>
                <w:lang w:eastAsia="pt-BR"/>
              </w:rPr>
            </w:pPr>
            <w:r w:rsidRPr="00202A1A">
              <w:rPr>
                <w:rFonts w:eastAsia="Times New Roman" w:cs="Calibri"/>
                <w:color w:val="000000"/>
                <w:lang w:eastAsia="pt-BR"/>
              </w:rPr>
              <w:t>1,63%</w:t>
            </w:r>
          </w:p>
        </w:tc>
      </w:tr>
      <w:tr w:rsidR="00ED7F19" w:rsidRPr="00202A1A" w14:paraId="3B36AC91"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B6A3638" w14:textId="77777777" w:rsidR="00ED7F19" w:rsidRPr="00202A1A" w:rsidRDefault="00ED7F19" w:rsidP="00B03275">
            <w:pPr>
              <w:spacing w:after="0" w:line="240" w:lineRule="auto"/>
              <w:ind w:right="-568" w:firstLine="851"/>
              <w:rPr>
                <w:rFonts w:eastAsia="Times New Roman" w:cs="Calibri"/>
                <w:b/>
                <w:bCs/>
                <w:color w:val="000000"/>
                <w:lang w:eastAsia="pt-BR"/>
              </w:rPr>
            </w:pPr>
            <w:r w:rsidRPr="00202A1A">
              <w:rPr>
                <w:rFonts w:eastAsia="Times New Roman" w:cs="Calibri"/>
                <w:b/>
                <w:bCs/>
                <w:color w:val="000000"/>
                <w:lang w:eastAsia="pt-BR"/>
              </w:rPr>
              <w:t>IPCA</w:t>
            </w:r>
          </w:p>
        </w:tc>
        <w:tc>
          <w:tcPr>
            <w:tcW w:w="2514" w:type="dxa"/>
            <w:tcBorders>
              <w:top w:val="nil"/>
              <w:left w:val="nil"/>
              <w:bottom w:val="single" w:sz="4" w:space="0" w:color="auto"/>
              <w:right w:val="single" w:sz="4" w:space="0" w:color="auto"/>
            </w:tcBorders>
            <w:shd w:val="clear" w:color="auto" w:fill="auto"/>
            <w:noWrap/>
            <w:vAlign w:val="bottom"/>
            <w:hideMark/>
          </w:tcPr>
          <w:p w14:paraId="04AEADBB" w14:textId="77777777" w:rsidR="00ED7F19" w:rsidRPr="00202A1A" w:rsidRDefault="00ED7F19" w:rsidP="003210F2">
            <w:pPr>
              <w:spacing w:after="0" w:line="240" w:lineRule="auto"/>
              <w:ind w:right="-568" w:firstLine="851"/>
              <w:rPr>
                <w:rFonts w:eastAsia="Times New Roman" w:cs="Calibri"/>
                <w:color w:val="000000"/>
                <w:lang w:eastAsia="pt-BR"/>
              </w:rPr>
            </w:pPr>
            <w:r w:rsidRPr="00202A1A">
              <w:rPr>
                <w:rFonts w:eastAsia="Times New Roman" w:cs="Calibri"/>
                <w:color w:val="000000"/>
                <w:lang w:eastAsia="pt-BR"/>
              </w:rPr>
              <w:t>4,95%</w:t>
            </w:r>
          </w:p>
        </w:tc>
        <w:tc>
          <w:tcPr>
            <w:tcW w:w="2105" w:type="dxa"/>
            <w:tcBorders>
              <w:top w:val="nil"/>
              <w:left w:val="nil"/>
              <w:bottom w:val="single" w:sz="4" w:space="0" w:color="auto"/>
              <w:right w:val="single" w:sz="4" w:space="0" w:color="auto"/>
            </w:tcBorders>
            <w:shd w:val="clear" w:color="auto" w:fill="auto"/>
            <w:noWrap/>
            <w:vAlign w:val="bottom"/>
            <w:hideMark/>
          </w:tcPr>
          <w:p w14:paraId="3C4B98EE" w14:textId="77777777" w:rsidR="00ED7F19" w:rsidRPr="00202A1A" w:rsidRDefault="00ED7F19" w:rsidP="003210F2">
            <w:pPr>
              <w:spacing w:after="0" w:line="240" w:lineRule="auto"/>
              <w:ind w:right="-568" w:firstLine="851"/>
              <w:rPr>
                <w:rFonts w:eastAsia="Times New Roman" w:cs="Calibri"/>
                <w:color w:val="000000"/>
                <w:lang w:eastAsia="pt-BR"/>
              </w:rPr>
            </w:pPr>
            <w:r w:rsidRPr="00202A1A">
              <w:rPr>
                <w:rFonts w:eastAsia="Times New Roman" w:cs="Calibri"/>
                <w:color w:val="000000"/>
                <w:lang w:eastAsia="pt-BR"/>
              </w:rPr>
              <w:t>3,80%</w:t>
            </w:r>
          </w:p>
        </w:tc>
      </w:tr>
      <w:tr w:rsidR="00ED7F19" w:rsidRPr="00202A1A" w14:paraId="75F65912" w14:textId="77777777" w:rsidTr="001B2929">
        <w:trPr>
          <w:trHeight w:val="300"/>
          <w:jc w:val="center"/>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B8702CE" w14:textId="77777777" w:rsidR="00ED7F19" w:rsidRPr="00202A1A" w:rsidRDefault="00ED7F19" w:rsidP="003210F2">
            <w:pPr>
              <w:spacing w:after="0" w:line="240" w:lineRule="auto"/>
              <w:ind w:right="-568" w:firstLine="851"/>
              <w:rPr>
                <w:rFonts w:eastAsia="Times New Roman" w:cs="Calibri"/>
                <w:b/>
                <w:bCs/>
                <w:color w:val="000000"/>
                <w:lang w:eastAsia="pt-BR"/>
              </w:rPr>
            </w:pPr>
            <w:r w:rsidRPr="00202A1A">
              <w:rPr>
                <w:rFonts w:eastAsia="Times New Roman" w:cs="Calibri"/>
                <w:b/>
                <w:bCs/>
                <w:color w:val="000000"/>
                <w:lang w:eastAsia="pt-BR"/>
              </w:rPr>
              <w:lastRenderedPageBreak/>
              <w:t>SELIC</w:t>
            </w:r>
          </w:p>
        </w:tc>
        <w:tc>
          <w:tcPr>
            <w:tcW w:w="2514" w:type="dxa"/>
            <w:tcBorders>
              <w:top w:val="nil"/>
              <w:left w:val="nil"/>
              <w:bottom w:val="single" w:sz="4" w:space="0" w:color="auto"/>
              <w:right w:val="single" w:sz="4" w:space="0" w:color="auto"/>
            </w:tcBorders>
            <w:shd w:val="clear" w:color="auto" w:fill="auto"/>
            <w:noWrap/>
            <w:vAlign w:val="bottom"/>
            <w:hideMark/>
          </w:tcPr>
          <w:p w14:paraId="4583614B" w14:textId="77777777" w:rsidR="00ED7F19" w:rsidRPr="00202A1A" w:rsidRDefault="00ED7F19" w:rsidP="003210F2">
            <w:pPr>
              <w:spacing w:after="0" w:line="240" w:lineRule="auto"/>
              <w:ind w:right="-568" w:firstLine="851"/>
              <w:rPr>
                <w:rFonts w:eastAsia="Times New Roman" w:cs="Calibri"/>
                <w:color w:val="000000"/>
                <w:lang w:eastAsia="pt-BR"/>
              </w:rPr>
            </w:pPr>
            <w:r w:rsidRPr="00202A1A">
              <w:rPr>
                <w:rFonts w:eastAsia="Times New Roman" w:cs="Calibri"/>
                <w:color w:val="000000"/>
                <w:lang w:eastAsia="pt-BR"/>
              </w:rPr>
              <w:t>11,63%</w:t>
            </w:r>
          </w:p>
        </w:tc>
        <w:tc>
          <w:tcPr>
            <w:tcW w:w="2105" w:type="dxa"/>
            <w:tcBorders>
              <w:top w:val="nil"/>
              <w:left w:val="nil"/>
              <w:bottom w:val="single" w:sz="4" w:space="0" w:color="auto"/>
              <w:right w:val="single" w:sz="4" w:space="0" w:color="auto"/>
            </w:tcBorders>
            <w:shd w:val="clear" w:color="auto" w:fill="auto"/>
            <w:noWrap/>
            <w:vAlign w:val="bottom"/>
            <w:hideMark/>
          </w:tcPr>
          <w:p w14:paraId="5C384686" w14:textId="77777777" w:rsidR="00ED7F19" w:rsidRPr="00202A1A" w:rsidRDefault="00ED7F19" w:rsidP="003210F2">
            <w:pPr>
              <w:spacing w:after="0" w:line="240" w:lineRule="auto"/>
              <w:ind w:right="-568" w:firstLine="851"/>
              <w:rPr>
                <w:rFonts w:eastAsia="Times New Roman" w:cs="Calibri"/>
                <w:color w:val="000000"/>
                <w:lang w:eastAsia="pt-BR"/>
              </w:rPr>
            </w:pPr>
            <w:r w:rsidRPr="00202A1A">
              <w:rPr>
                <w:rFonts w:eastAsia="Times New Roman" w:cs="Calibri"/>
                <w:color w:val="000000"/>
                <w:lang w:eastAsia="pt-BR"/>
              </w:rPr>
              <w:t>9,00%</w:t>
            </w:r>
          </w:p>
        </w:tc>
      </w:tr>
    </w:tbl>
    <w:p w14:paraId="36136CC1" w14:textId="77777777" w:rsidR="00ED7F19" w:rsidRPr="00ED7F19"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ED7F19">
        <w:rPr>
          <w:rFonts w:asciiTheme="minorHAnsi" w:hAnsiTheme="minorHAnsi" w:cstheme="minorHAnsi"/>
          <w:sz w:val="24"/>
          <w:szCs w:val="24"/>
          <w:lang w:eastAsia="pt-BR"/>
        </w:rPr>
        <w:t xml:space="preserve">A manutenção e ou alterações dos resultados projetados acima, dependerá dos resultados dos choques globais, principalmente dos EUA e suas futuras eleições presidenciais em 2024, do valor das commodities e a manutenção da Guerra entre Rússia e Ucrânia, o mercado chinês, e do resultado da Europa que puxa para baixo os resultados globais. Com o início da redução de juros globais, isso acarretará novos resultados de risco-país, podendo atualmente o Brasil se beneficiar de sua condição, ainda que em grau especulativo. No cenário interno, a principal preocupação continua sendo o cenário fiscal, buscando o equilíbrio e transparência orçamentária diante da nova âncora fiscal e suas metas, bem como o tripé macroeconômico e a autonomia do Banco Central que são fundamentais para que a inflação seja reconduzida à meta. </w:t>
      </w:r>
    </w:p>
    <w:p w14:paraId="282D7F31" w14:textId="22400A7F" w:rsidR="00ED7F19" w:rsidRPr="008B02D4" w:rsidRDefault="00ED7F19" w:rsidP="00B03275">
      <w:pPr>
        <w:autoSpaceDE w:val="0"/>
        <w:autoSpaceDN w:val="0"/>
        <w:adjustRightInd w:val="0"/>
        <w:spacing w:after="0" w:line="360" w:lineRule="auto"/>
        <w:ind w:right="-568" w:firstLine="851"/>
        <w:jc w:val="both"/>
        <w:rPr>
          <w:rFonts w:asciiTheme="minorHAnsi" w:hAnsiTheme="minorHAnsi" w:cstheme="minorHAnsi"/>
          <w:sz w:val="24"/>
          <w:szCs w:val="24"/>
          <w:highlight w:val="red"/>
          <w:lang w:eastAsia="pt-BR"/>
        </w:rPr>
      </w:pPr>
      <w:r w:rsidRPr="00ED7F19">
        <w:rPr>
          <w:rFonts w:asciiTheme="minorHAnsi" w:hAnsiTheme="minorHAnsi" w:cstheme="minorHAnsi"/>
          <w:sz w:val="24"/>
          <w:szCs w:val="24"/>
          <w:lang w:eastAsia="pt-BR"/>
        </w:rPr>
        <w:t>Os principais riscos para um cenário pessimista são: uma nova pandemia, o colapso dos mercados globais, em especial, um cenário recessivo nos EUA, e o descontrole da situação fiscal brasileira. Já para o cenário otimista, espera-se a retomada controle das contas públicas, a recondução da inflação à meta, e a retomada do mercado e demanda global.</w:t>
      </w:r>
    </w:p>
    <w:p w14:paraId="58B42BC5" w14:textId="4648A94C" w:rsidR="009D5C2F" w:rsidRPr="008B02D4" w:rsidRDefault="009D5C2F" w:rsidP="00870748">
      <w:pPr>
        <w:pStyle w:val="Ttulo1"/>
        <w:numPr>
          <w:ilvl w:val="0"/>
          <w:numId w:val="4"/>
        </w:numPr>
        <w:ind w:left="0" w:right="-568" w:firstLine="851"/>
        <w:rPr>
          <w:rFonts w:asciiTheme="minorHAnsi" w:hAnsiTheme="minorHAnsi" w:cstheme="minorHAnsi"/>
          <w:szCs w:val="24"/>
        </w:rPr>
      </w:pPr>
      <w:bookmarkStart w:id="10" w:name="_Toc93910753"/>
      <w:r w:rsidRPr="008B02D4">
        <w:rPr>
          <w:rFonts w:asciiTheme="minorHAnsi" w:hAnsiTheme="minorHAnsi" w:cstheme="minorHAnsi"/>
          <w:szCs w:val="24"/>
        </w:rPr>
        <w:t>Índice de Referência por Segmento</w:t>
      </w:r>
      <w:bookmarkEnd w:id="10"/>
    </w:p>
    <w:p w14:paraId="6C93A571" w14:textId="77777777" w:rsidR="00557529" w:rsidRPr="008B02D4" w:rsidRDefault="00557529" w:rsidP="00B03275">
      <w:pPr>
        <w:ind w:right="-568" w:firstLine="851"/>
        <w:rPr>
          <w:rFonts w:asciiTheme="minorHAnsi" w:hAnsiTheme="minorHAnsi" w:cstheme="minorHAnsi"/>
          <w:sz w:val="24"/>
          <w:szCs w:val="24"/>
        </w:rPr>
      </w:pPr>
    </w:p>
    <w:p w14:paraId="75F191D3" w14:textId="49ABC579" w:rsidR="00BE5A1E" w:rsidRPr="008B02D4" w:rsidRDefault="009D5C2F"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Entende-se como o índice que melhor reflete a rentabilidade esperada para o curto prazo, isto é, para </w:t>
      </w:r>
      <w:r w:rsidR="00A26648" w:rsidRPr="008B02D4">
        <w:rPr>
          <w:rFonts w:asciiTheme="minorHAnsi" w:hAnsiTheme="minorHAnsi" w:cstheme="minorHAnsi"/>
          <w:sz w:val="24"/>
          <w:szCs w:val="24"/>
          <w:lang w:eastAsia="pt-BR"/>
        </w:rPr>
        <w:t>períodos</w:t>
      </w:r>
      <w:r w:rsidRPr="008B02D4">
        <w:rPr>
          <w:rFonts w:asciiTheme="minorHAnsi" w:hAnsiTheme="minorHAnsi" w:cstheme="minorHAnsi"/>
          <w:sz w:val="24"/>
          <w:szCs w:val="24"/>
          <w:lang w:eastAsia="pt-BR"/>
        </w:rPr>
        <w:t xml:space="preserve"> mensais ou anuais, conforme as características do investimento</w:t>
      </w:r>
      <w:r w:rsidR="00A26648" w:rsidRPr="008B02D4">
        <w:rPr>
          <w:rFonts w:asciiTheme="minorHAnsi" w:hAnsiTheme="minorHAnsi" w:cstheme="minorHAnsi"/>
          <w:sz w:val="24"/>
          <w:szCs w:val="24"/>
          <w:lang w:eastAsia="pt-BR"/>
        </w:rPr>
        <w:t>.</w:t>
      </w:r>
    </w:p>
    <w:tbl>
      <w:tblPr>
        <w:tblStyle w:val="TabeladeGrade6Colorida"/>
        <w:tblW w:w="0" w:type="auto"/>
        <w:tblLook w:val="04A0" w:firstRow="1" w:lastRow="0" w:firstColumn="1" w:lastColumn="0" w:noHBand="0" w:noVBand="1"/>
      </w:tblPr>
      <w:tblGrid>
        <w:gridCol w:w="4247"/>
        <w:gridCol w:w="4247"/>
      </w:tblGrid>
      <w:tr w:rsidR="00187356" w:rsidRPr="008B02D4" w14:paraId="5BAC3147" w14:textId="77777777" w:rsidTr="003E7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shd w:val="clear" w:color="auto" w:fill="2F5496" w:themeFill="accent1" w:themeFillShade="BF"/>
          </w:tcPr>
          <w:p w14:paraId="06B74463" w14:textId="569324AF" w:rsidR="00187356" w:rsidRPr="003E766D" w:rsidRDefault="00187356" w:rsidP="00B03275">
            <w:pPr>
              <w:autoSpaceDE w:val="0"/>
              <w:autoSpaceDN w:val="0"/>
              <w:adjustRightInd w:val="0"/>
              <w:spacing w:after="0" w:line="240" w:lineRule="auto"/>
              <w:ind w:right="-568" w:firstLine="851"/>
              <w:rPr>
                <w:rFonts w:asciiTheme="minorHAnsi" w:hAnsiTheme="minorHAnsi" w:cstheme="minorHAnsi"/>
                <w:color w:val="FFFFFF" w:themeColor="background1"/>
                <w:sz w:val="24"/>
                <w:szCs w:val="24"/>
                <w:lang w:eastAsia="pt-BR"/>
              </w:rPr>
            </w:pPr>
            <w:r w:rsidRPr="003E766D">
              <w:rPr>
                <w:rFonts w:asciiTheme="minorHAnsi" w:hAnsiTheme="minorHAnsi" w:cstheme="minorHAnsi"/>
                <w:color w:val="FFFFFF" w:themeColor="background1"/>
                <w:sz w:val="24"/>
                <w:szCs w:val="24"/>
                <w:lang w:eastAsia="pt-BR"/>
              </w:rPr>
              <w:t>Plano</w:t>
            </w:r>
          </w:p>
        </w:tc>
        <w:tc>
          <w:tcPr>
            <w:tcW w:w="4247" w:type="dxa"/>
            <w:shd w:val="clear" w:color="auto" w:fill="2F5496" w:themeFill="accent1" w:themeFillShade="BF"/>
          </w:tcPr>
          <w:p w14:paraId="3FC74B9A" w14:textId="0B90A037" w:rsidR="00187356" w:rsidRPr="003E766D" w:rsidRDefault="00187356" w:rsidP="00B03275">
            <w:pPr>
              <w:autoSpaceDE w:val="0"/>
              <w:autoSpaceDN w:val="0"/>
              <w:adjustRightInd w:val="0"/>
              <w:spacing w:after="0" w:line="240" w:lineRule="auto"/>
              <w:ind w:right="-568" w:firstLine="85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lang w:eastAsia="pt-BR"/>
              </w:rPr>
            </w:pPr>
            <w:r w:rsidRPr="003E766D">
              <w:rPr>
                <w:rFonts w:asciiTheme="minorHAnsi" w:hAnsiTheme="minorHAnsi" w:cstheme="minorHAnsi"/>
                <w:color w:val="FFFFFF" w:themeColor="background1"/>
                <w:sz w:val="24"/>
                <w:szCs w:val="24"/>
                <w:lang w:eastAsia="pt-BR"/>
              </w:rPr>
              <w:t xml:space="preserve">IPCA + Juros </w:t>
            </w:r>
          </w:p>
        </w:tc>
      </w:tr>
      <w:tr w:rsidR="00187356" w:rsidRPr="008B02D4" w14:paraId="3F14EFC4" w14:textId="77777777" w:rsidTr="00AC3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7EB64EE" w14:textId="48F01D66" w:rsidR="00187356" w:rsidRPr="008B02D4" w:rsidRDefault="00187356" w:rsidP="00B03275">
            <w:pPr>
              <w:autoSpaceDE w:val="0"/>
              <w:autoSpaceDN w:val="0"/>
              <w:adjustRightInd w:val="0"/>
              <w:spacing w:after="0" w:line="240" w:lineRule="auto"/>
              <w:ind w:right="-568" w:firstLine="851"/>
              <w:rPr>
                <w:rFonts w:asciiTheme="minorHAnsi" w:hAnsiTheme="minorHAnsi" w:cstheme="minorHAnsi"/>
                <w:sz w:val="24"/>
                <w:szCs w:val="24"/>
                <w:lang w:eastAsia="pt-BR"/>
              </w:rPr>
            </w:pPr>
            <w:r w:rsidRPr="008B02D4">
              <w:rPr>
                <w:rFonts w:asciiTheme="minorHAnsi" w:hAnsiTheme="minorHAnsi" w:cstheme="minorHAnsi"/>
                <w:sz w:val="24"/>
                <w:szCs w:val="24"/>
                <w:lang w:eastAsia="pt-BR"/>
              </w:rPr>
              <w:t>Renda Fixa</w:t>
            </w:r>
          </w:p>
        </w:tc>
        <w:tc>
          <w:tcPr>
            <w:tcW w:w="4247" w:type="dxa"/>
          </w:tcPr>
          <w:p w14:paraId="1C8BED22" w14:textId="1DF864B0" w:rsidR="00187356" w:rsidRPr="008B02D4" w:rsidRDefault="00187356" w:rsidP="00B03275">
            <w:pPr>
              <w:autoSpaceDE w:val="0"/>
              <w:autoSpaceDN w:val="0"/>
              <w:adjustRightInd w:val="0"/>
              <w:spacing w:after="0" w:line="240" w:lineRule="auto"/>
              <w:ind w:right="-568" w:firstLine="8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eastAsia="pt-BR"/>
              </w:rPr>
            </w:pPr>
            <w:r w:rsidRPr="008B02D4">
              <w:rPr>
                <w:rFonts w:asciiTheme="minorHAnsi" w:hAnsiTheme="minorHAnsi" w:cstheme="minorHAnsi"/>
                <w:sz w:val="24"/>
                <w:szCs w:val="24"/>
                <w:lang w:eastAsia="pt-BR"/>
              </w:rPr>
              <w:t>Família IMA + IDKA + CDI</w:t>
            </w:r>
          </w:p>
        </w:tc>
      </w:tr>
      <w:tr w:rsidR="00187356" w:rsidRPr="008B02D4" w14:paraId="509D1158" w14:textId="77777777" w:rsidTr="00AC3D26">
        <w:tc>
          <w:tcPr>
            <w:cnfStyle w:val="001000000000" w:firstRow="0" w:lastRow="0" w:firstColumn="1" w:lastColumn="0" w:oddVBand="0" w:evenVBand="0" w:oddHBand="0" w:evenHBand="0" w:firstRowFirstColumn="0" w:firstRowLastColumn="0" w:lastRowFirstColumn="0" w:lastRowLastColumn="0"/>
            <w:tcW w:w="4247" w:type="dxa"/>
          </w:tcPr>
          <w:p w14:paraId="213F17CF" w14:textId="6BE20DB6" w:rsidR="00187356" w:rsidRPr="008B02D4" w:rsidRDefault="00187356" w:rsidP="00B03275">
            <w:pPr>
              <w:autoSpaceDE w:val="0"/>
              <w:autoSpaceDN w:val="0"/>
              <w:adjustRightInd w:val="0"/>
              <w:spacing w:after="0" w:line="240" w:lineRule="auto"/>
              <w:ind w:right="-568" w:firstLine="851"/>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Renda Variável </w:t>
            </w:r>
          </w:p>
        </w:tc>
        <w:tc>
          <w:tcPr>
            <w:tcW w:w="4247" w:type="dxa"/>
          </w:tcPr>
          <w:p w14:paraId="0C811F5E" w14:textId="550DFBCE" w:rsidR="00187356" w:rsidRPr="008B02D4" w:rsidRDefault="00187356" w:rsidP="00B03275">
            <w:pPr>
              <w:autoSpaceDE w:val="0"/>
              <w:autoSpaceDN w:val="0"/>
              <w:adjustRightInd w:val="0"/>
              <w:spacing w:after="0" w:line="240" w:lineRule="auto"/>
              <w:ind w:right="-568" w:firstLine="8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eastAsia="pt-BR"/>
              </w:rPr>
            </w:pPr>
            <w:r w:rsidRPr="008B02D4">
              <w:rPr>
                <w:rFonts w:asciiTheme="minorHAnsi" w:hAnsiTheme="minorHAnsi" w:cstheme="minorHAnsi"/>
                <w:sz w:val="24"/>
                <w:szCs w:val="24"/>
                <w:lang w:eastAsia="pt-BR"/>
              </w:rPr>
              <w:t>Ibovespa</w:t>
            </w:r>
          </w:p>
        </w:tc>
      </w:tr>
      <w:tr w:rsidR="00187356" w:rsidRPr="008B02D4" w14:paraId="18345B50" w14:textId="77777777" w:rsidTr="00AC3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BEAE43F" w14:textId="38452093" w:rsidR="00187356" w:rsidRPr="008B02D4" w:rsidRDefault="00414AE8" w:rsidP="00B03275">
            <w:pPr>
              <w:autoSpaceDE w:val="0"/>
              <w:autoSpaceDN w:val="0"/>
              <w:adjustRightInd w:val="0"/>
              <w:spacing w:after="0" w:line="240" w:lineRule="auto"/>
              <w:ind w:right="-568" w:firstLine="851"/>
              <w:rPr>
                <w:rFonts w:asciiTheme="minorHAnsi" w:hAnsiTheme="minorHAnsi" w:cstheme="minorHAnsi"/>
                <w:sz w:val="24"/>
                <w:szCs w:val="24"/>
                <w:lang w:eastAsia="pt-BR"/>
              </w:rPr>
            </w:pPr>
            <w:r w:rsidRPr="008B02D4">
              <w:rPr>
                <w:rFonts w:asciiTheme="minorHAnsi" w:hAnsiTheme="minorHAnsi" w:cstheme="minorHAnsi"/>
                <w:sz w:val="24"/>
                <w:szCs w:val="24"/>
                <w:lang w:eastAsia="pt-BR"/>
              </w:rPr>
              <w:t>Estruturado</w:t>
            </w:r>
          </w:p>
        </w:tc>
        <w:tc>
          <w:tcPr>
            <w:tcW w:w="4247" w:type="dxa"/>
          </w:tcPr>
          <w:p w14:paraId="7D43417D" w14:textId="5A26A99E" w:rsidR="00187356" w:rsidRPr="008B02D4" w:rsidRDefault="00414AE8" w:rsidP="00B03275">
            <w:pPr>
              <w:autoSpaceDE w:val="0"/>
              <w:autoSpaceDN w:val="0"/>
              <w:adjustRightInd w:val="0"/>
              <w:spacing w:after="0" w:line="240" w:lineRule="auto"/>
              <w:ind w:right="-568" w:firstLine="8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eastAsia="pt-BR"/>
              </w:rPr>
            </w:pPr>
            <w:r w:rsidRPr="008B02D4">
              <w:rPr>
                <w:rFonts w:asciiTheme="minorHAnsi" w:hAnsiTheme="minorHAnsi" w:cstheme="minorHAnsi"/>
                <w:sz w:val="24"/>
                <w:szCs w:val="24"/>
                <w:lang w:eastAsia="pt-BR"/>
              </w:rPr>
              <w:t>CDI</w:t>
            </w:r>
          </w:p>
        </w:tc>
      </w:tr>
      <w:tr w:rsidR="00187356" w:rsidRPr="008B02D4" w14:paraId="039D8A5B" w14:textId="77777777" w:rsidTr="00AC3D26">
        <w:tc>
          <w:tcPr>
            <w:cnfStyle w:val="001000000000" w:firstRow="0" w:lastRow="0" w:firstColumn="1" w:lastColumn="0" w:oddVBand="0" w:evenVBand="0" w:oddHBand="0" w:evenHBand="0" w:firstRowFirstColumn="0" w:firstRowLastColumn="0" w:lastRowFirstColumn="0" w:lastRowLastColumn="0"/>
            <w:tcW w:w="4247" w:type="dxa"/>
          </w:tcPr>
          <w:p w14:paraId="7ED64FDA" w14:textId="153608BA" w:rsidR="00187356" w:rsidRPr="008B02D4" w:rsidRDefault="00414AE8" w:rsidP="00B03275">
            <w:pPr>
              <w:autoSpaceDE w:val="0"/>
              <w:autoSpaceDN w:val="0"/>
              <w:adjustRightInd w:val="0"/>
              <w:spacing w:after="0" w:line="240" w:lineRule="auto"/>
              <w:ind w:right="-568" w:firstLine="851"/>
              <w:rPr>
                <w:rFonts w:asciiTheme="minorHAnsi" w:hAnsiTheme="minorHAnsi" w:cstheme="minorHAnsi"/>
                <w:sz w:val="24"/>
                <w:szCs w:val="24"/>
                <w:lang w:eastAsia="pt-BR"/>
              </w:rPr>
            </w:pPr>
            <w:r w:rsidRPr="008B02D4">
              <w:rPr>
                <w:rFonts w:asciiTheme="minorHAnsi" w:hAnsiTheme="minorHAnsi" w:cstheme="minorHAnsi"/>
                <w:sz w:val="24"/>
                <w:szCs w:val="24"/>
                <w:lang w:eastAsia="pt-BR"/>
              </w:rPr>
              <w:t>Exterior</w:t>
            </w:r>
          </w:p>
        </w:tc>
        <w:tc>
          <w:tcPr>
            <w:tcW w:w="4247" w:type="dxa"/>
          </w:tcPr>
          <w:p w14:paraId="7EC26B5B" w14:textId="7C99F82C" w:rsidR="00187356" w:rsidRPr="008B02D4" w:rsidRDefault="00414AE8" w:rsidP="00B03275">
            <w:pPr>
              <w:autoSpaceDE w:val="0"/>
              <w:autoSpaceDN w:val="0"/>
              <w:adjustRightInd w:val="0"/>
              <w:spacing w:after="0" w:line="240" w:lineRule="auto"/>
              <w:ind w:right="-568" w:firstLine="8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eastAsia="pt-BR"/>
              </w:rPr>
            </w:pPr>
            <w:r w:rsidRPr="008B02D4">
              <w:rPr>
                <w:rFonts w:asciiTheme="minorHAnsi" w:hAnsiTheme="minorHAnsi" w:cstheme="minorHAnsi"/>
                <w:sz w:val="24"/>
                <w:szCs w:val="24"/>
                <w:lang w:eastAsia="pt-BR"/>
              </w:rPr>
              <w:t>CDI</w:t>
            </w:r>
          </w:p>
        </w:tc>
      </w:tr>
      <w:tr w:rsidR="00187356" w:rsidRPr="008B02D4" w14:paraId="0028B22C" w14:textId="77777777" w:rsidTr="00AC3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49B65EB3" w14:textId="7D5F4DCD" w:rsidR="00187356" w:rsidRPr="008B02D4" w:rsidRDefault="00414AE8" w:rsidP="00B03275">
            <w:pPr>
              <w:autoSpaceDE w:val="0"/>
              <w:autoSpaceDN w:val="0"/>
              <w:adjustRightInd w:val="0"/>
              <w:spacing w:after="0" w:line="240" w:lineRule="auto"/>
              <w:ind w:right="-568" w:firstLine="851"/>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Imobiliário </w:t>
            </w:r>
          </w:p>
        </w:tc>
        <w:tc>
          <w:tcPr>
            <w:tcW w:w="4247" w:type="dxa"/>
          </w:tcPr>
          <w:p w14:paraId="745BC886" w14:textId="05467548" w:rsidR="00187356" w:rsidRPr="008B02D4" w:rsidRDefault="00414AE8" w:rsidP="00B03275">
            <w:pPr>
              <w:autoSpaceDE w:val="0"/>
              <w:autoSpaceDN w:val="0"/>
              <w:adjustRightInd w:val="0"/>
              <w:spacing w:after="0" w:line="240" w:lineRule="auto"/>
              <w:ind w:right="-568" w:firstLine="85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eastAsia="pt-BR"/>
              </w:rPr>
            </w:pPr>
            <w:r w:rsidRPr="008B02D4">
              <w:rPr>
                <w:rFonts w:asciiTheme="minorHAnsi" w:hAnsiTheme="minorHAnsi" w:cstheme="minorHAnsi"/>
                <w:sz w:val="24"/>
                <w:szCs w:val="24"/>
                <w:lang w:eastAsia="pt-BR"/>
              </w:rPr>
              <w:t>CDI</w:t>
            </w:r>
          </w:p>
        </w:tc>
      </w:tr>
    </w:tbl>
    <w:p w14:paraId="34AF3FA6" w14:textId="77777777" w:rsidR="00187356" w:rsidRPr="008B02D4" w:rsidRDefault="00187356"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1AB22115" w14:textId="77777777" w:rsidR="00F27D64" w:rsidRPr="008B02D4" w:rsidRDefault="00F27D64" w:rsidP="006D0CE9">
      <w:pPr>
        <w:pStyle w:val="Ttulo1"/>
        <w:numPr>
          <w:ilvl w:val="0"/>
          <w:numId w:val="4"/>
        </w:numPr>
        <w:ind w:left="0" w:right="-568" w:firstLine="851"/>
        <w:rPr>
          <w:rFonts w:asciiTheme="minorHAnsi" w:hAnsiTheme="minorHAnsi" w:cstheme="minorHAnsi"/>
          <w:szCs w:val="24"/>
        </w:rPr>
      </w:pPr>
      <w:bookmarkStart w:id="11" w:name="_Toc93910754"/>
      <w:r w:rsidRPr="008B02D4">
        <w:rPr>
          <w:rFonts w:asciiTheme="minorHAnsi" w:hAnsiTheme="minorHAnsi" w:cstheme="minorHAnsi"/>
          <w:szCs w:val="24"/>
        </w:rPr>
        <w:t>Rating de Gestão</w:t>
      </w:r>
      <w:bookmarkEnd w:id="11"/>
    </w:p>
    <w:p w14:paraId="289C8D30" w14:textId="77777777" w:rsidR="00883D9B" w:rsidRPr="008B02D4" w:rsidRDefault="00883D9B"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63DC7D7A" w14:textId="4B3FB09F" w:rsidR="00F27D64" w:rsidRDefault="00F27D64"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De acordo com a Resolução CMN nº </w:t>
      </w:r>
      <w:r w:rsidR="00A164FE" w:rsidRPr="008B02D4">
        <w:rPr>
          <w:rFonts w:asciiTheme="minorHAnsi" w:hAnsiTheme="minorHAnsi" w:cstheme="minorHAnsi"/>
          <w:sz w:val="24"/>
          <w:szCs w:val="24"/>
          <w:lang w:eastAsia="pt-BR"/>
        </w:rPr>
        <w:t xml:space="preserve">4.963/21 </w:t>
      </w:r>
      <w:r w:rsidRPr="008B02D4">
        <w:rPr>
          <w:rFonts w:asciiTheme="minorHAnsi" w:hAnsiTheme="minorHAnsi" w:cstheme="minorHAnsi"/>
          <w:sz w:val="24"/>
          <w:szCs w:val="24"/>
          <w:lang w:eastAsia="pt-BR"/>
        </w:rPr>
        <w:t>e alterações, este tópico estabelece quais serão os critérios mínimos de rating de gestão a serem observados:</w:t>
      </w:r>
    </w:p>
    <w:p w14:paraId="527F3C8F" w14:textId="77777777" w:rsidR="006D0CE9" w:rsidRPr="008B02D4" w:rsidRDefault="006D0CE9"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68F08B12" w14:textId="77777777" w:rsidR="00D5474A" w:rsidRPr="008B02D4" w:rsidRDefault="00D5474A"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tbl>
      <w:tblPr>
        <w:tblW w:w="9129" w:type="dxa"/>
        <w:tblCellMar>
          <w:left w:w="70" w:type="dxa"/>
          <w:right w:w="70" w:type="dxa"/>
        </w:tblCellMar>
        <w:tblLook w:val="04A0" w:firstRow="1" w:lastRow="0" w:firstColumn="1" w:lastColumn="0" w:noHBand="0" w:noVBand="1"/>
      </w:tblPr>
      <w:tblGrid>
        <w:gridCol w:w="1913"/>
        <w:gridCol w:w="1901"/>
        <w:gridCol w:w="1427"/>
        <w:gridCol w:w="1161"/>
        <w:gridCol w:w="1609"/>
        <w:gridCol w:w="1118"/>
      </w:tblGrid>
      <w:tr w:rsidR="00887996" w:rsidRPr="008B02D4" w14:paraId="756C261C" w14:textId="77777777" w:rsidTr="006D0CE9">
        <w:trPr>
          <w:trHeight w:val="657"/>
        </w:trPr>
        <w:tc>
          <w:tcPr>
            <w:tcW w:w="1913" w:type="dxa"/>
            <w:tcBorders>
              <w:top w:val="single" w:sz="8" w:space="0" w:color="auto"/>
              <w:left w:val="single" w:sz="8" w:space="0" w:color="auto"/>
              <w:bottom w:val="single" w:sz="8" w:space="0" w:color="auto"/>
              <w:right w:val="nil"/>
            </w:tcBorders>
            <w:shd w:val="clear" w:color="auto" w:fill="2F5496" w:themeFill="accent1" w:themeFillShade="BF"/>
            <w:vAlign w:val="center"/>
            <w:hideMark/>
          </w:tcPr>
          <w:p w14:paraId="2F1C34DA" w14:textId="7F732604" w:rsidR="00945AA4" w:rsidRPr="003E766D" w:rsidRDefault="00887996" w:rsidP="006D0CE9">
            <w:pPr>
              <w:spacing w:after="0" w:line="240" w:lineRule="auto"/>
              <w:ind w:right="-568"/>
              <w:rPr>
                <w:rFonts w:asciiTheme="minorHAnsi" w:eastAsia="Times New Roman" w:hAnsiTheme="minorHAnsi" w:cstheme="minorHAnsi"/>
                <w:b/>
                <w:bCs/>
                <w:color w:val="FFFFFF" w:themeColor="background1"/>
                <w:sz w:val="24"/>
                <w:szCs w:val="24"/>
                <w:lang w:eastAsia="pt-BR"/>
              </w:rPr>
            </w:pPr>
            <w:r w:rsidRPr="003E766D">
              <w:rPr>
                <w:rFonts w:asciiTheme="minorHAnsi" w:eastAsia="Times New Roman" w:hAnsiTheme="minorHAnsi" w:cstheme="minorHAnsi"/>
                <w:b/>
                <w:bCs/>
                <w:color w:val="FFFFFF" w:themeColor="background1"/>
                <w:sz w:val="24"/>
                <w:szCs w:val="24"/>
                <w:lang w:eastAsia="pt-BR"/>
              </w:rPr>
              <w:t>Standard &amp;Poors</w:t>
            </w:r>
          </w:p>
        </w:tc>
        <w:tc>
          <w:tcPr>
            <w:tcW w:w="1901" w:type="dxa"/>
            <w:tcBorders>
              <w:top w:val="single" w:sz="8" w:space="0" w:color="auto"/>
              <w:left w:val="single" w:sz="8" w:space="0" w:color="auto"/>
              <w:bottom w:val="single" w:sz="8" w:space="0" w:color="auto"/>
              <w:right w:val="nil"/>
            </w:tcBorders>
            <w:shd w:val="clear" w:color="auto" w:fill="2F5496" w:themeFill="accent1" w:themeFillShade="BF"/>
            <w:vAlign w:val="center"/>
            <w:hideMark/>
          </w:tcPr>
          <w:p w14:paraId="68245ACC" w14:textId="77777777" w:rsidR="00945AA4" w:rsidRPr="003E766D" w:rsidRDefault="00945AA4" w:rsidP="006D0CE9">
            <w:pPr>
              <w:spacing w:after="0" w:line="240" w:lineRule="auto"/>
              <w:ind w:right="-568"/>
              <w:rPr>
                <w:rFonts w:asciiTheme="minorHAnsi" w:eastAsia="Times New Roman" w:hAnsiTheme="minorHAnsi" w:cstheme="minorHAnsi"/>
                <w:b/>
                <w:bCs/>
                <w:color w:val="FFFFFF" w:themeColor="background1"/>
                <w:sz w:val="24"/>
                <w:szCs w:val="24"/>
                <w:lang w:eastAsia="pt-BR"/>
              </w:rPr>
            </w:pPr>
            <w:r w:rsidRPr="003E766D">
              <w:rPr>
                <w:rFonts w:asciiTheme="minorHAnsi" w:eastAsia="Times New Roman" w:hAnsiTheme="minorHAnsi" w:cstheme="minorHAnsi"/>
                <w:b/>
                <w:bCs/>
                <w:color w:val="FFFFFF" w:themeColor="background1"/>
                <w:sz w:val="24"/>
                <w:szCs w:val="24"/>
                <w:lang w:eastAsia="pt-BR"/>
              </w:rPr>
              <w:t>Moody's</w:t>
            </w:r>
          </w:p>
        </w:tc>
        <w:tc>
          <w:tcPr>
            <w:tcW w:w="1427" w:type="dxa"/>
            <w:tcBorders>
              <w:top w:val="single" w:sz="8" w:space="0" w:color="auto"/>
              <w:left w:val="single" w:sz="8" w:space="0" w:color="auto"/>
              <w:bottom w:val="single" w:sz="8" w:space="0" w:color="auto"/>
              <w:right w:val="nil"/>
            </w:tcBorders>
            <w:shd w:val="clear" w:color="auto" w:fill="2F5496" w:themeFill="accent1" w:themeFillShade="BF"/>
            <w:vAlign w:val="center"/>
            <w:hideMark/>
          </w:tcPr>
          <w:p w14:paraId="55BC2883" w14:textId="77777777" w:rsidR="00945AA4" w:rsidRPr="003E766D" w:rsidRDefault="00945AA4" w:rsidP="006D0CE9">
            <w:pPr>
              <w:spacing w:after="0" w:line="240" w:lineRule="auto"/>
              <w:ind w:right="-568"/>
              <w:rPr>
                <w:rFonts w:asciiTheme="minorHAnsi" w:eastAsia="Times New Roman" w:hAnsiTheme="minorHAnsi" w:cstheme="minorHAnsi"/>
                <w:b/>
                <w:bCs/>
                <w:color w:val="FFFFFF" w:themeColor="background1"/>
                <w:sz w:val="24"/>
                <w:szCs w:val="24"/>
                <w:lang w:eastAsia="pt-BR"/>
              </w:rPr>
            </w:pPr>
            <w:r w:rsidRPr="003E766D">
              <w:rPr>
                <w:rFonts w:asciiTheme="minorHAnsi" w:eastAsia="Times New Roman" w:hAnsiTheme="minorHAnsi" w:cstheme="minorHAnsi"/>
                <w:b/>
                <w:bCs/>
                <w:color w:val="FFFFFF" w:themeColor="background1"/>
                <w:sz w:val="24"/>
                <w:szCs w:val="24"/>
                <w:lang w:eastAsia="pt-BR"/>
              </w:rPr>
              <w:t>Fitch</w:t>
            </w:r>
          </w:p>
        </w:tc>
        <w:tc>
          <w:tcPr>
            <w:tcW w:w="1161" w:type="dxa"/>
            <w:tcBorders>
              <w:top w:val="single" w:sz="8" w:space="0" w:color="auto"/>
              <w:left w:val="single" w:sz="8" w:space="0" w:color="auto"/>
              <w:bottom w:val="single" w:sz="8" w:space="0" w:color="auto"/>
              <w:right w:val="nil"/>
            </w:tcBorders>
            <w:shd w:val="clear" w:color="auto" w:fill="2F5496" w:themeFill="accent1" w:themeFillShade="BF"/>
            <w:vAlign w:val="center"/>
            <w:hideMark/>
          </w:tcPr>
          <w:p w14:paraId="2E6B12B7" w14:textId="77777777" w:rsidR="00945AA4" w:rsidRPr="003E766D" w:rsidRDefault="00945AA4" w:rsidP="006D0CE9">
            <w:pPr>
              <w:spacing w:after="0" w:line="240" w:lineRule="auto"/>
              <w:ind w:right="-568"/>
              <w:rPr>
                <w:rFonts w:asciiTheme="minorHAnsi" w:eastAsia="Times New Roman" w:hAnsiTheme="minorHAnsi" w:cstheme="minorHAnsi"/>
                <w:b/>
                <w:bCs/>
                <w:color w:val="FFFFFF" w:themeColor="background1"/>
                <w:sz w:val="24"/>
                <w:szCs w:val="24"/>
                <w:lang w:eastAsia="pt-BR"/>
              </w:rPr>
            </w:pPr>
            <w:r w:rsidRPr="003E766D">
              <w:rPr>
                <w:rFonts w:asciiTheme="minorHAnsi" w:eastAsia="Times New Roman" w:hAnsiTheme="minorHAnsi" w:cstheme="minorHAnsi"/>
                <w:b/>
                <w:bCs/>
                <w:color w:val="FFFFFF" w:themeColor="background1"/>
                <w:sz w:val="24"/>
                <w:szCs w:val="24"/>
                <w:lang w:eastAsia="pt-BR"/>
              </w:rPr>
              <w:t>SR Ratings</w:t>
            </w:r>
          </w:p>
        </w:tc>
        <w:tc>
          <w:tcPr>
            <w:tcW w:w="1609" w:type="dxa"/>
            <w:tcBorders>
              <w:top w:val="single" w:sz="8" w:space="0" w:color="auto"/>
              <w:left w:val="single" w:sz="8" w:space="0" w:color="auto"/>
              <w:bottom w:val="single" w:sz="8" w:space="0" w:color="auto"/>
              <w:right w:val="nil"/>
            </w:tcBorders>
            <w:shd w:val="clear" w:color="auto" w:fill="2F5496" w:themeFill="accent1" w:themeFillShade="BF"/>
            <w:vAlign w:val="center"/>
            <w:hideMark/>
          </w:tcPr>
          <w:p w14:paraId="5CB9CA40" w14:textId="77777777" w:rsidR="00945AA4" w:rsidRPr="003E766D" w:rsidRDefault="00945AA4" w:rsidP="006D0CE9">
            <w:pPr>
              <w:spacing w:after="0" w:line="240" w:lineRule="auto"/>
              <w:ind w:right="-568"/>
              <w:rPr>
                <w:rFonts w:asciiTheme="minorHAnsi" w:eastAsia="Times New Roman" w:hAnsiTheme="minorHAnsi" w:cstheme="minorHAnsi"/>
                <w:b/>
                <w:bCs/>
                <w:color w:val="FFFFFF" w:themeColor="background1"/>
                <w:sz w:val="24"/>
                <w:szCs w:val="24"/>
                <w:lang w:eastAsia="pt-BR"/>
              </w:rPr>
            </w:pPr>
            <w:r w:rsidRPr="003E766D">
              <w:rPr>
                <w:rFonts w:asciiTheme="minorHAnsi" w:eastAsia="Times New Roman" w:hAnsiTheme="minorHAnsi" w:cstheme="minorHAnsi"/>
                <w:b/>
                <w:bCs/>
                <w:color w:val="FFFFFF" w:themeColor="background1"/>
                <w:sz w:val="24"/>
                <w:szCs w:val="24"/>
                <w:lang w:eastAsia="pt-BR"/>
              </w:rPr>
              <w:t>Austin Ratings</w:t>
            </w:r>
          </w:p>
        </w:tc>
        <w:tc>
          <w:tcPr>
            <w:tcW w:w="1118" w:type="dxa"/>
            <w:tcBorders>
              <w:top w:val="single" w:sz="8" w:space="0" w:color="auto"/>
              <w:left w:val="single" w:sz="8" w:space="0" w:color="auto"/>
              <w:bottom w:val="single" w:sz="8" w:space="0" w:color="auto"/>
              <w:right w:val="single" w:sz="8" w:space="0" w:color="auto"/>
            </w:tcBorders>
            <w:shd w:val="clear" w:color="auto" w:fill="2F5496" w:themeFill="accent1" w:themeFillShade="BF"/>
            <w:vAlign w:val="center"/>
            <w:hideMark/>
          </w:tcPr>
          <w:p w14:paraId="5E90D5EF" w14:textId="77777777" w:rsidR="00945AA4" w:rsidRPr="003E766D" w:rsidRDefault="00945AA4" w:rsidP="006D0CE9">
            <w:pPr>
              <w:spacing w:after="0" w:line="240" w:lineRule="auto"/>
              <w:ind w:right="-568"/>
              <w:rPr>
                <w:rFonts w:asciiTheme="minorHAnsi" w:eastAsia="Times New Roman" w:hAnsiTheme="minorHAnsi" w:cstheme="minorHAnsi"/>
                <w:b/>
                <w:bCs/>
                <w:color w:val="FFFFFF" w:themeColor="background1"/>
                <w:sz w:val="24"/>
                <w:szCs w:val="24"/>
                <w:lang w:eastAsia="pt-BR"/>
              </w:rPr>
            </w:pPr>
            <w:r w:rsidRPr="003E766D">
              <w:rPr>
                <w:rFonts w:asciiTheme="minorHAnsi" w:eastAsia="Times New Roman" w:hAnsiTheme="minorHAnsi" w:cstheme="minorHAnsi"/>
                <w:b/>
                <w:bCs/>
                <w:color w:val="FFFFFF" w:themeColor="background1"/>
                <w:sz w:val="24"/>
                <w:szCs w:val="24"/>
                <w:lang w:eastAsia="pt-BR"/>
              </w:rPr>
              <w:t>LF Rating</w:t>
            </w:r>
          </w:p>
        </w:tc>
      </w:tr>
      <w:tr w:rsidR="00887996" w:rsidRPr="008B02D4" w14:paraId="2B6A4D1D" w14:textId="77777777" w:rsidTr="006D0CE9">
        <w:trPr>
          <w:trHeight w:val="375"/>
        </w:trPr>
        <w:tc>
          <w:tcPr>
            <w:tcW w:w="1913" w:type="dxa"/>
            <w:tcBorders>
              <w:top w:val="nil"/>
              <w:left w:val="single" w:sz="8" w:space="0" w:color="auto"/>
              <w:bottom w:val="single" w:sz="4" w:space="0" w:color="auto"/>
              <w:right w:val="single" w:sz="8" w:space="0" w:color="auto"/>
            </w:tcBorders>
            <w:shd w:val="clear" w:color="000000" w:fill="FFFFFF"/>
            <w:vAlign w:val="center"/>
            <w:hideMark/>
          </w:tcPr>
          <w:p w14:paraId="50FEFCC7" w14:textId="77777777" w:rsidR="00945AA4" w:rsidRPr="008B02D4" w:rsidRDefault="00945AA4" w:rsidP="006D0CE9">
            <w:pPr>
              <w:spacing w:after="0" w:line="240" w:lineRule="auto"/>
              <w:ind w:right="-568" w:hanging="509"/>
              <w:jc w:val="center"/>
              <w:rPr>
                <w:rFonts w:asciiTheme="minorHAnsi" w:eastAsia="Times New Roman" w:hAnsiTheme="minorHAnsi" w:cstheme="minorHAnsi"/>
                <w:color w:val="000000"/>
                <w:sz w:val="24"/>
                <w:szCs w:val="24"/>
                <w:lang w:eastAsia="pt-BR"/>
              </w:rPr>
            </w:pPr>
            <w:r w:rsidRPr="008B02D4">
              <w:rPr>
                <w:rFonts w:asciiTheme="minorHAnsi" w:eastAsia="Times New Roman" w:hAnsiTheme="minorHAnsi" w:cstheme="minorHAnsi"/>
                <w:color w:val="000000"/>
                <w:sz w:val="24"/>
                <w:szCs w:val="24"/>
                <w:lang w:eastAsia="pt-BR"/>
              </w:rPr>
              <w:t>AM P1</w:t>
            </w:r>
          </w:p>
        </w:tc>
        <w:tc>
          <w:tcPr>
            <w:tcW w:w="1901" w:type="dxa"/>
            <w:tcBorders>
              <w:top w:val="nil"/>
              <w:left w:val="nil"/>
              <w:bottom w:val="single" w:sz="4" w:space="0" w:color="auto"/>
              <w:right w:val="single" w:sz="8" w:space="0" w:color="auto"/>
            </w:tcBorders>
            <w:shd w:val="clear" w:color="000000" w:fill="FFFFFF"/>
            <w:vAlign w:val="center"/>
            <w:hideMark/>
          </w:tcPr>
          <w:p w14:paraId="61343AD4" w14:textId="77777777" w:rsidR="00945AA4" w:rsidRPr="008B02D4" w:rsidRDefault="00945AA4" w:rsidP="006D0CE9">
            <w:pPr>
              <w:spacing w:after="0" w:line="240" w:lineRule="auto"/>
              <w:ind w:right="-568" w:hanging="509"/>
              <w:jc w:val="center"/>
              <w:rPr>
                <w:rFonts w:asciiTheme="minorHAnsi" w:eastAsia="Times New Roman" w:hAnsiTheme="minorHAnsi" w:cstheme="minorHAnsi"/>
                <w:color w:val="000000"/>
                <w:sz w:val="24"/>
                <w:szCs w:val="24"/>
                <w:lang w:eastAsia="pt-BR"/>
              </w:rPr>
            </w:pPr>
            <w:r w:rsidRPr="008B02D4">
              <w:rPr>
                <w:rFonts w:asciiTheme="minorHAnsi" w:eastAsia="Times New Roman" w:hAnsiTheme="minorHAnsi" w:cstheme="minorHAnsi"/>
                <w:color w:val="000000"/>
                <w:sz w:val="24"/>
                <w:szCs w:val="24"/>
                <w:lang w:eastAsia="pt-BR"/>
              </w:rPr>
              <w:t>MQ 1</w:t>
            </w:r>
          </w:p>
        </w:tc>
        <w:tc>
          <w:tcPr>
            <w:tcW w:w="1427" w:type="dxa"/>
            <w:tcBorders>
              <w:top w:val="nil"/>
              <w:left w:val="nil"/>
              <w:bottom w:val="single" w:sz="4" w:space="0" w:color="auto"/>
              <w:right w:val="single" w:sz="8" w:space="0" w:color="auto"/>
            </w:tcBorders>
            <w:shd w:val="clear" w:color="000000" w:fill="FFFFFF"/>
            <w:vAlign w:val="center"/>
            <w:hideMark/>
          </w:tcPr>
          <w:p w14:paraId="2BC1BD5F" w14:textId="77777777" w:rsidR="00945AA4" w:rsidRPr="008B02D4" w:rsidRDefault="00945AA4" w:rsidP="006D0CE9">
            <w:pPr>
              <w:spacing w:after="0" w:line="240" w:lineRule="auto"/>
              <w:ind w:right="-568" w:hanging="509"/>
              <w:jc w:val="center"/>
              <w:rPr>
                <w:rFonts w:asciiTheme="minorHAnsi" w:eastAsia="Times New Roman" w:hAnsiTheme="minorHAnsi" w:cstheme="minorHAnsi"/>
                <w:color w:val="000000"/>
                <w:sz w:val="24"/>
                <w:szCs w:val="24"/>
                <w:lang w:eastAsia="pt-BR"/>
              </w:rPr>
            </w:pPr>
            <w:r w:rsidRPr="008B02D4">
              <w:rPr>
                <w:rFonts w:asciiTheme="minorHAnsi" w:eastAsia="Times New Roman" w:hAnsiTheme="minorHAnsi" w:cstheme="minorHAnsi"/>
                <w:color w:val="000000"/>
                <w:sz w:val="24"/>
                <w:szCs w:val="24"/>
                <w:lang w:eastAsia="pt-BR"/>
              </w:rPr>
              <w:t>M 1</w:t>
            </w:r>
          </w:p>
        </w:tc>
        <w:tc>
          <w:tcPr>
            <w:tcW w:w="1161" w:type="dxa"/>
            <w:tcBorders>
              <w:top w:val="nil"/>
              <w:left w:val="nil"/>
              <w:bottom w:val="single" w:sz="4" w:space="0" w:color="auto"/>
              <w:right w:val="single" w:sz="8" w:space="0" w:color="auto"/>
            </w:tcBorders>
            <w:shd w:val="clear" w:color="000000" w:fill="FFFFFF"/>
            <w:vAlign w:val="center"/>
            <w:hideMark/>
          </w:tcPr>
          <w:p w14:paraId="428A9DA2" w14:textId="77777777" w:rsidR="00945AA4" w:rsidRPr="008B02D4" w:rsidRDefault="00945AA4" w:rsidP="006D0CE9">
            <w:pPr>
              <w:spacing w:after="0" w:line="240" w:lineRule="auto"/>
              <w:ind w:right="-568" w:hanging="509"/>
              <w:jc w:val="center"/>
              <w:rPr>
                <w:rFonts w:asciiTheme="minorHAnsi" w:eastAsia="Times New Roman" w:hAnsiTheme="minorHAnsi" w:cstheme="minorHAnsi"/>
                <w:color w:val="000000"/>
                <w:sz w:val="24"/>
                <w:szCs w:val="24"/>
                <w:lang w:eastAsia="pt-BR"/>
              </w:rPr>
            </w:pPr>
            <w:r w:rsidRPr="008B02D4">
              <w:rPr>
                <w:rFonts w:asciiTheme="minorHAnsi" w:eastAsia="Times New Roman" w:hAnsiTheme="minorHAnsi" w:cstheme="minorHAnsi"/>
                <w:color w:val="000000"/>
                <w:sz w:val="24"/>
                <w:szCs w:val="24"/>
                <w:lang w:eastAsia="pt-BR"/>
              </w:rPr>
              <w:t>G 1</w:t>
            </w:r>
          </w:p>
        </w:tc>
        <w:tc>
          <w:tcPr>
            <w:tcW w:w="1609" w:type="dxa"/>
            <w:tcBorders>
              <w:top w:val="nil"/>
              <w:left w:val="nil"/>
              <w:bottom w:val="single" w:sz="4" w:space="0" w:color="auto"/>
              <w:right w:val="single" w:sz="8" w:space="0" w:color="auto"/>
            </w:tcBorders>
            <w:shd w:val="clear" w:color="000000" w:fill="FFFFFF"/>
            <w:vAlign w:val="center"/>
            <w:hideMark/>
          </w:tcPr>
          <w:p w14:paraId="5ACE2B90" w14:textId="77777777" w:rsidR="00945AA4" w:rsidRPr="008B02D4" w:rsidRDefault="00945AA4" w:rsidP="006D0CE9">
            <w:pPr>
              <w:spacing w:after="0" w:line="240" w:lineRule="auto"/>
              <w:ind w:right="-568" w:hanging="509"/>
              <w:jc w:val="center"/>
              <w:rPr>
                <w:rFonts w:asciiTheme="minorHAnsi" w:eastAsia="Times New Roman" w:hAnsiTheme="minorHAnsi" w:cstheme="minorHAnsi"/>
                <w:color w:val="000000"/>
                <w:sz w:val="24"/>
                <w:szCs w:val="24"/>
                <w:lang w:eastAsia="pt-BR"/>
              </w:rPr>
            </w:pPr>
            <w:r w:rsidRPr="008B02D4">
              <w:rPr>
                <w:rFonts w:asciiTheme="minorHAnsi" w:eastAsia="Times New Roman" w:hAnsiTheme="minorHAnsi" w:cstheme="minorHAnsi"/>
                <w:color w:val="000000"/>
                <w:sz w:val="24"/>
                <w:szCs w:val="24"/>
                <w:lang w:eastAsia="pt-BR"/>
              </w:rPr>
              <w:t>QG 1</w:t>
            </w:r>
          </w:p>
        </w:tc>
        <w:tc>
          <w:tcPr>
            <w:tcW w:w="1118" w:type="dxa"/>
            <w:tcBorders>
              <w:top w:val="nil"/>
              <w:left w:val="nil"/>
              <w:bottom w:val="single" w:sz="4" w:space="0" w:color="auto"/>
              <w:right w:val="single" w:sz="8" w:space="0" w:color="auto"/>
            </w:tcBorders>
            <w:shd w:val="clear" w:color="000000" w:fill="FFFFFF"/>
            <w:vAlign w:val="center"/>
            <w:hideMark/>
          </w:tcPr>
          <w:p w14:paraId="326A19BE" w14:textId="77777777" w:rsidR="00945AA4" w:rsidRPr="008B02D4" w:rsidRDefault="00945AA4" w:rsidP="006D0CE9">
            <w:pPr>
              <w:spacing w:after="0" w:line="240" w:lineRule="auto"/>
              <w:ind w:right="-568" w:hanging="509"/>
              <w:jc w:val="center"/>
              <w:rPr>
                <w:rFonts w:asciiTheme="minorHAnsi" w:eastAsia="Times New Roman" w:hAnsiTheme="minorHAnsi" w:cstheme="minorHAnsi"/>
                <w:color w:val="000000"/>
                <w:sz w:val="24"/>
                <w:szCs w:val="24"/>
                <w:lang w:eastAsia="pt-BR"/>
              </w:rPr>
            </w:pPr>
            <w:r w:rsidRPr="008B02D4">
              <w:rPr>
                <w:rFonts w:asciiTheme="minorHAnsi" w:eastAsia="Times New Roman" w:hAnsiTheme="minorHAnsi" w:cstheme="minorHAnsi"/>
                <w:color w:val="000000"/>
                <w:sz w:val="24"/>
                <w:szCs w:val="24"/>
                <w:lang w:eastAsia="pt-BR"/>
              </w:rPr>
              <w:t>LF G 1</w:t>
            </w:r>
          </w:p>
        </w:tc>
      </w:tr>
      <w:tr w:rsidR="00887996" w:rsidRPr="008B02D4" w14:paraId="24CCBC7F" w14:textId="77777777" w:rsidTr="006D0CE9">
        <w:trPr>
          <w:trHeight w:val="394"/>
        </w:trPr>
        <w:tc>
          <w:tcPr>
            <w:tcW w:w="1913" w:type="dxa"/>
            <w:tcBorders>
              <w:top w:val="nil"/>
              <w:left w:val="single" w:sz="8" w:space="0" w:color="auto"/>
              <w:bottom w:val="single" w:sz="8" w:space="0" w:color="auto"/>
              <w:right w:val="single" w:sz="8" w:space="0" w:color="auto"/>
            </w:tcBorders>
            <w:shd w:val="clear" w:color="000000" w:fill="FFFFFF"/>
            <w:vAlign w:val="center"/>
            <w:hideMark/>
          </w:tcPr>
          <w:p w14:paraId="281D2921" w14:textId="77777777" w:rsidR="00945AA4" w:rsidRPr="008B02D4" w:rsidRDefault="00945AA4" w:rsidP="006D0CE9">
            <w:pPr>
              <w:spacing w:after="0" w:line="240" w:lineRule="auto"/>
              <w:ind w:right="-568" w:hanging="509"/>
              <w:jc w:val="center"/>
              <w:rPr>
                <w:rFonts w:asciiTheme="minorHAnsi" w:eastAsia="Times New Roman" w:hAnsiTheme="minorHAnsi" w:cstheme="minorHAnsi"/>
                <w:color w:val="000000"/>
                <w:sz w:val="24"/>
                <w:szCs w:val="24"/>
                <w:lang w:eastAsia="pt-BR"/>
              </w:rPr>
            </w:pPr>
            <w:r w:rsidRPr="008B02D4">
              <w:rPr>
                <w:rFonts w:asciiTheme="minorHAnsi" w:eastAsia="Times New Roman" w:hAnsiTheme="minorHAnsi" w:cstheme="minorHAnsi"/>
                <w:color w:val="000000"/>
                <w:sz w:val="24"/>
                <w:szCs w:val="24"/>
                <w:lang w:eastAsia="pt-BR"/>
              </w:rPr>
              <w:t>AM P3</w:t>
            </w:r>
          </w:p>
        </w:tc>
        <w:tc>
          <w:tcPr>
            <w:tcW w:w="1901" w:type="dxa"/>
            <w:tcBorders>
              <w:top w:val="nil"/>
              <w:left w:val="nil"/>
              <w:bottom w:val="single" w:sz="8" w:space="0" w:color="auto"/>
              <w:right w:val="single" w:sz="8" w:space="0" w:color="auto"/>
            </w:tcBorders>
            <w:shd w:val="clear" w:color="000000" w:fill="FFFFFF"/>
            <w:vAlign w:val="center"/>
            <w:hideMark/>
          </w:tcPr>
          <w:p w14:paraId="01BF976E" w14:textId="77777777" w:rsidR="00945AA4" w:rsidRPr="008B02D4" w:rsidRDefault="00945AA4" w:rsidP="006D0CE9">
            <w:pPr>
              <w:spacing w:after="0" w:line="240" w:lineRule="auto"/>
              <w:ind w:right="-568" w:hanging="509"/>
              <w:jc w:val="center"/>
              <w:rPr>
                <w:rFonts w:asciiTheme="minorHAnsi" w:eastAsia="Times New Roman" w:hAnsiTheme="minorHAnsi" w:cstheme="minorHAnsi"/>
                <w:color w:val="000000"/>
                <w:sz w:val="24"/>
                <w:szCs w:val="24"/>
                <w:lang w:eastAsia="pt-BR"/>
              </w:rPr>
            </w:pPr>
            <w:r w:rsidRPr="008B02D4">
              <w:rPr>
                <w:rFonts w:asciiTheme="minorHAnsi" w:eastAsia="Times New Roman" w:hAnsiTheme="minorHAnsi" w:cstheme="minorHAnsi"/>
                <w:color w:val="000000"/>
                <w:sz w:val="24"/>
                <w:szCs w:val="24"/>
                <w:lang w:eastAsia="pt-BR"/>
              </w:rPr>
              <w:t>MQ 3</w:t>
            </w:r>
          </w:p>
        </w:tc>
        <w:tc>
          <w:tcPr>
            <w:tcW w:w="1427" w:type="dxa"/>
            <w:tcBorders>
              <w:top w:val="nil"/>
              <w:left w:val="nil"/>
              <w:bottom w:val="single" w:sz="8" w:space="0" w:color="auto"/>
              <w:right w:val="single" w:sz="8" w:space="0" w:color="auto"/>
            </w:tcBorders>
            <w:shd w:val="clear" w:color="000000" w:fill="FFFFFF"/>
            <w:vAlign w:val="center"/>
            <w:hideMark/>
          </w:tcPr>
          <w:p w14:paraId="2E211288" w14:textId="77777777" w:rsidR="00945AA4" w:rsidRPr="008B02D4" w:rsidRDefault="00945AA4" w:rsidP="006D0CE9">
            <w:pPr>
              <w:spacing w:after="0" w:line="240" w:lineRule="auto"/>
              <w:ind w:right="-568" w:hanging="509"/>
              <w:jc w:val="center"/>
              <w:rPr>
                <w:rFonts w:asciiTheme="minorHAnsi" w:eastAsia="Times New Roman" w:hAnsiTheme="minorHAnsi" w:cstheme="minorHAnsi"/>
                <w:color w:val="000000"/>
                <w:sz w:val="24"/>
                <w:szCs w:val="24"/>
                <w:lang w:eastAsia="pt-BR"/>
              </w:rPr>
            </w:pPr>
            <w:r w:rsidRPr="008B02D4">
              <w:rPr>
                <w:rFonts w:asciiTheme="minorHAnsi" w:eastAsia="Times New Roman" w:hAnsiTheme="minorHAnsi" w:cstheme="minorHAnsi"/>
                <w:color w:val="000000"/>
                <w:sz w:val="24"/>
                <w:szCs w:val="24"/>
                <w:lang w:eastAsia="pt-BR"/>
              </w:rPr>
              <w:t>M 3</w:t>
            </w:r>
          </w:p>
        </w:tc>
        <w:tc>
          <w:tcPr>
            <w:tcW w:w="1161" w:type="dxa"/>
            <w:tcBorders>
              <w:top w:val="nil"/>
              <w:left w:val="nil"/>
              <w:bottom w:val="single" w:sz="8" w:space="0" w:color="auto"/>
              <w:right w:val="single" w:sz="8" w:space="0" w:color="auto"/>
            </w:tcBorders>
            <w:shd w:val="clear" w:color="000000" w:fill="FFFFFF"/>
            <w:vAlign w:val="center"/>
            <w:hideMark/>
          </w:tcPr>
          <w:p w14:paraId="45D0AE65" w14:textId="77777777" w:rsidR="00945AA4" w:rsidRPr="008B02D4" w:rsidRDefault="00945AA4" w:rsidP="006D0CE9">
            <w:pPr>
              <w:spacing w:after="0" w:line="240" w:lineRule="auto"/>
              <w:ind w:right="-568" w:hanging="509"/>
              <w:jc w:val="center"/>
              <w:rPr>
                <w:rFonts w:asciiTheme="minorHAnsi" w:eastAsia="Times New Roman" w:hAnsiTheme="minorHAnsi" w:cstheme="minorHAnsi"/>
                <w:color w:val="000000"/>
                <w:sz w:val="24"/>
                <w:szCs w:val="24"/>
                <w:lang w:eastAsia="pt-BR"/>
              </w:rPr>
            </w:pPr>
            <w:r w:rsidRPr="008B02D4">
              <w:rPr>
                <w:rFonts w:asciiTheme="minorHAnsi" w:eastAsia="Times New Roman" w:hAnsiTheme="minorHAnsi" w:cstheme="minorHAnsi"/>
                <w:color w:val="000000"/>
                <w:sz w:val="24"/>
                <w:szCs w:val="24"/>
                <w:lang w:eastAsia="pt-BR"/>
              </w:rPr>
              <w:t>G 3</w:t>
            </w:r>
          </w:p>
        </w:tc>
        <w:tc>
          <w:tcPr>
            <w:tcW w:w="1609" w:type="dxa"/>
            <w:tcBorders>
              <w:top w:val="nil"/>
              <w:left w:val="nil"/>
              <w:bottom w:val="single" w:sz="8" w:space="0" w:color="auto"/>
              <w:right w:val="single" w:sz="8" w:space="0" w:color="auto"/>
            </w:tcBorders>
            <w:shd w:val="clear" w:color="000000" w:fill="FFFFFF"/>
            <w:vAlign w:val="center"/>
            <w:hideMark/>
          </w:tcPr>
          <w:p w14:paraId="71BF3201" w14:textId="77777777" w:rsidR="00945AA4" w:rsidRPr="008B02D4" w:rsidRDefault="00945AA4" w:rsidP="006D0CE9">
            <w:pPr>
              <w:spacing w:after="0" w:line="240" w:lineRule="auto"/>
              <w:ind w:right="-568" w:hanging="509"/>
              <w:jc w:val="center"/>
              <w:rPr>
                <w:rFonts w:asciiTheme="minorHAnsi" w:eastAsia="Times New Roman" w:hAnsiTheme="minorHAnsi" w:cstheme="minorHAnsi"/>
                <w:color w:val="000000"/>
                <w:sz w:val="24"/>
                <w:szCs w:val="24"/>
                <w:lang w:eastAsia="pt-BR"/>
              </w:rPr>
            </w:pPr>
            <w:r w:rsidRPr="008B02D4">
              <w:rPr>
                <w:rFonts w:asciiTheme="minorHAnsi" w:eastAsia="Times New Roman" w:hAnsiTheme="minorHAnsi" w:cstheme="minorHAnsi"/>
                <w:color w:val="000000"/>
                <w:sz w:val="24"/>
                <w:szCs w:val="24"/>
                <w:lang w:eastAsia="pt-BR"/>
              </w:rPr>
              <w:t>QG 3</w:t>
            </w:r>
          </w:p>
        </w:tc>
        <w:tc>
          <w:tcPr>
            <w:tcW w:w="1118" w:type="dxa"/>
            <w:tcBorders>
              <w:top w:val="nil"/>
              <w:left w:val="nil"/>
              <w:bottom w:val="single" w:sz="8" w:space="0" w:color="auto"/>
              <w:right w:val="single" w:sz="8" w:space="0" w:color="auto"/>
            </w:tcBorders>
            <w:shd w:val="clear" w:color="000000" w:fill="FFFFFF"/>
            <w:vAlign w:val="center"/>
            <w:hideMark/>
          </w:tcPr>
          <w:p w14:paraId="4EEE3DFC" w14:textId="77777777" w:rsidR="00945AA4" w:rsidRPr="008B02D4" w:rsidRDefault="00945AA4" w:rsidP="006D0CE9">
            <w:pPr>
              <w:spacing w:after="0" w:line="240" w:lineRule="auto"/>
              <w:ind w:right="-568" w:hanging="509"/>
              <w:jc w:val="center"/>
              <w:rPr>
                <w:rFonts w:asciiTheme="minorHAnsi" w:eastAsia="Times New Roman" w:hAnsiTheme="minorHAnsi" w:cstheme="minorHAnsi"/>
                <w:color w:val="000000"/>
                <w:sz w:val="24"/>
                <w:szCs w:val="24"/>
                <w:lang w:eastAsia="pt-BR"/>
              </w:rPr>
            </w:pPr>
            <w:r w:rsidRPr="008B02D4">
              <w:rPr>
                <w:rFonts w:asciiTheme="minorHAnsi" w:eastAsia="Times New Roman" w:hAnsiTheme="minorHAnsi" w:cstheme="minorHAnsi"/>
                <w:color w:val="000000"/>
                <w:sz w:val="24"/>
                <w:szCs w:val="24"/>
                <w:lang w:eastAsia="pt-BR"/>
              </w:rPr>
              <w:t>LF G 3</w:t>
            </w:r>
          </w:p>
        </w:tc>
      </w:tr>
    </w:tbl>
    <w:p w14:paraId="7EF6DA0E" w14:textId="77777777" w:rsidR="00951A07" w:rsidRPr="008B02D4" w:rsidRDefault="00951A07" w:rsidP="00B03275">
      <w:pPr>
        <w:spacing w:before="120" w:after="120" w:line="240" w:lineRule="auto"/>
        <w:ind w:left="708" w:right="-568" w:firstLine="851"/>
        <w:jc w:val="both"/>
        <w:rPr>
          <w:rFonts w:asciiTheme="minorHAnsi" w:hAnsiTheme="minorHAnsi" w:cstheme="minorHAnsi"/>
          <w:sz w:val="24"/>
          <w:szCs w:val="24"/>
        </w:rPr>
      </w:pPr>
    </w:p>
    <w:p w14:paraId="18A5EF82" w14:textId="77777777" w:rsidR="00F27D64" w:rsidRPr="008B02D4" w:rsidRDefault="00F27D64" w:rsidP="006D0CE9">
      <w:pPr>
        <w:pStyle w:val="Ttulo1"/>
        <w:numPr>
          <w:ilvl w:val="0"/>
          <w:numId w:val="4"/>
        </w:numPr>
        <w:ind w:left="0" w:right="-568" w:firstLine="851"/>
        <w:rPr>
          <w:rFonts w:asciiTheme="minorHAnsi" w:hAnsiTheme="minorHAnsi" w:cstheme="minorHAnsi"/>
          <w:szCs w:val="24"/>
        </w:rPr>
      </w:pPr>
      <w:bookmarkStart w:id="12" w:name="_Toc93910755"/>
      <w:r w:rsidRPr="008B02D4">
        <w:rPr>
          <w:rFonts w:asciiTheme="minorHAnsi" w:hAnsiTheme="minorHAnsi" w:cstheme="minorHAnsi"/>
          <w:szCs w:val="24"/>
        </w:rPr>
        <w:t>Gestão de Risco</w:t>
      </w:r>
      <w:bookmarkEnd w:id="12"/>
    </w:p>
    <w:p w14:paraId="0FC3E5FE" w14:textId="77777777" w:rsidR="00883D9B" w:rsidRPr="008B02D4" w:rsidRDefault="00883D9B"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6959C8B5" w14:textId="567C0746" w:rsidR="00F27D64" w:rsidRPr="008B02D4" w:rsidRDefault="00F27D64"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Para este tópico, em consonância com o que estabelece a Resolução CMN nº </w:t>
      </w:r>
      <w:r w:rsidR="00A164FE" w:rsidRPr="008B02D4">
        <w:rPr>
          <w:rFonts w:asciiTheme="minorHAnsi" w:hAnsiTheme="minorHAnsi" w:cstheme="minorHAnsi"/>
          <w:sz w:val="24"/>
          <w:szCs w:val="24"/>
          <w:lang w:eastAsia="pt-BR"/>
        </w:rPr>
        <w:t xml:space="preserve">4.963/21 </w:t>
      </w:r>
      <w:r w:rsidRPr="008B02D4">
        <w:rPr>
          <w:rFonts w:asciiTheme="minorHAnsi" w:hAnsiTheme="minorHAnsi" w:cstheme="minorHAnsi"/>
          <w:sz w:val="24"/>
          <w:szCs w:val="24"/>
          <w:lang w:eastAsia="pt-BR"/>
        </w:rPr>
        <w:t>e alterações, estão aqui estabelecidos quais serão os critérios, parâmetros e limites de gestão de risco dos investimentos.</w:t>
      </w:r>
    </w:p>
    <w:p w14:paraId="22CA531B" w14:textId="77777777" w:rsidR="00F27D64" w:rsidRPr="008B02D4" w:rsidRDefault="00F27D64"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O objetivo deste capítulo é demonstrar a análise dos principais riscos destacando a importância de estabelecer regras que permitam identificar, avaliar, mensurar, controlar e monitorar os riscos aos quais os recursos do plano estão expostos, entre eles os riscos de crédito, de mercado, de liquidez e sistêmico.</w:t>
      </w:r>
    </w:p>
    <w:p w14:paraId="0A306A1E" w14:textId="77777777" w:rsidR="00F27D64" w:rsidRPr="008B02D4" w:rsidRDefault="00F27D64"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A entidade utilizará para essa avaliação do risco os ratings atribuídos por agências classificadoras de risco atuantes no Brasil.</w:t>
      </w:r>
    </w:p>
    <w:p w14:paraId="51B27C8E" w14:textId="77777777" w:rsidR="00F27D64" w:rsidRPr="008B02D4" w:rsidRDefault="00F27D64"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Para isso as tabelas abaixo deverão ser observadas:</w:t>
      </w:r>
    </w:p>
    <w:p w14:paraId="44DA7799" w14:textId="77777777" w:rsidR="0024006D" w:rsidRPr="006D0CE9" w:rsidRDefault="0024006D" w:rsidP="006D0CE9">
      <w:pPr>
        <w:tabs>
          <w:tab w:val="left" w:pos="2446"/>
        </w:tabs>
        <w:spacing w:before="120" w:after="120" w:line="240" w:lineRule="auto"/>
        <w:ind w:right="-568"/>
        <w:jc w:val="both"/>
        <w:rPr>
          <w:rFonts w:asciiTheme="minorHAnsi" w:hAnsiTheme="minorHAnsi" w:cstheme="minorHAnsi"/>
          <w:sz w:val="24"/>
          <w:szCs w:val="24"/>
        </w:rPr>
      </w:pPr>
    </w:p>
    <w:tbl>
      <w:tblPr>
        <w:tblW w:w="3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701"/>
      </w:tblGrid>
      <w:tr w:rsidR="00F27D64" w:rsidRPr="008B02D4" w14:paraId="4A198686" w14:textId="77777777" w:rsidTr="006D0CE9">
        <w:trPr>
          <w:trHeight w:val="264"/>
          <w:jc w:val="center"/>
        </w:trPr>
        <w:tc>
          <w:tcPr>
            <w:tcW w:w="3539" w:type="dxa"/>
            <w:gridSpan w:val="2"/>
            <w:shd w:val="clear" w:color="auto" w:fill="2F5496" w:themeFill="accent1" w:themeFillShade="BF"/>
            <w:vAlign w:val="bottom"/>
            <w:hideMark/>
          </w:tcPr>
          <w:p w14:paraId="77EFEB0F" w14:textId="77777777" w:rsidR="00F27D64" w:rsidRPr="008B02D4" w:rsidRDefault="00F27D64" w:rsidP="006D0CE9">
            <w:pPr>
              <w:spacing w:after="0" w:line="240" w:lineRule="auto"/>
              <w:ind w:right="-568" w:firstLine="1061"/>
              <w:rPr>
                <w:rFonts w:asciiTheme="minorHAnsi" w:eastAsia="Times New Roman" w:hAnsiTheme="minorHAnsi" w:cstheme="minorHAnsi"/>
                <w:b/>
                <w:bCs/>
                <w:sz w:val="24"/>
                <w:szCs w:val="24"/>
                <w:lang w:eastAsia="pt-BR"/>
              </w:rPr>
            </w:pPr>
            <w:r w:rsidRPr="003E766D">
              <w:rPr>
                <w:rFonts w:asciiTheme="minorHAnsi" w:eastAsia="Times New Roman" w:hAnsiTheme="minorHAnsi" w:cstheme="minorHAnsi"/>
                <w:b/>
                <w:bCs/>
                <w:color w:val="FFFFFF" w:themeColor="background1"/>
                <w:sz w:val="24"/>
                <w:szCs w:val="24"/>
                <w:lang w:eastAsia="pt-BR"/>
              </w:rPr>
              <w:t>AGÊNCIA FIDC</w:t>
            </w:r>
          </w:p>
        </w:tc>
      </w:tr>
      <w:tr w:rsidR="00F27D64" w:rsidRPr="008B02D4" w14:paraId="2C8E5577" w14:textId="77777777" w:rsidTr="006D0CE9">
        <w:trPr>
          <w:trHeight w:val="293"/>
          <w:jc w:val="center"/>
        </w:trPr>
        <w:tc>
          <w:tcPr>
            <w:tcW w:w="1838" w:type="dxa"/>
            <w:vMerge w:val="restart"/>
            <w:shd w:val="clear" w:color="000000" w:fill="FFFFFF"/>
            <w:vAlign w:val="center"/>
            <w:hideMark/>
          </w:tcPr>
          <w:p w14:paraId="504AA80F" w14:textId="77777777" w:rsidR="00F27D64" w:rsidRPr="008B02D4" w:rsidRDefault="00F27D64" w:rsidP="006D0CE9">
            <w:pPr>
              <w:spacing w:after="0" w:line="240" w:lineRule="auto"/>
              <w:ind w:right="-568" w:firstLine="353"/>
              <w:rPr>
                <w:rFonts w:asciiTheme="minorHAnsi" w:eastAsia="Times New Roman" w:hAnsiTheme="minorHAnsi" w:cstheme="minorHAnsi"/>
                <w:b/>
                <w:bCs/>
                <w:sz w:val="24"/>
                <w:szCs w:val="24"/>
                <w:lang w:eastAsia="pt-BR"/>
              </w:rPr>
            </w:pPr>
            <w:r w:rsidRPr="008B02D4">
              <w:rPr>
                <w:rFonts w:asciiTheme="minorHAnsi" w:eastAsia="Times New Roman" w:hAnsiTheme="minorHAnsi" w:cstheme="minorHAnsi"/>
                <w:b/>
                <w:bCs/>
                <w:sz w:val="24"/>
                <w:szCs w:val="24"/>
                <w:lang w:eastAsia="pt-BR"/>
              </w:rPr>
              <w:t xml:space="preserve">AGÊNCIA </w:t>
            </w:r>
          </w:p>
        </w:tc>
        <w:tc>
          <w:tcPr>
            <w:tcW w:w="1701" w:type="dxa"/>
            <w:vMerge w:val="restart"/>
            <w:shd w:val="clear" w:color="000000" w:fill="FFFFFF"/>
            <w:vAlign w:val="center"/>
            <w:hideMark/>
          </w:tcPr>
          <w:p w14:paraId="5B1E1812" w14:textId="77777777" w:rsidR="00F27D64" w:rsidRPr="008B02D4" w:rsidRDefault="00F27D64" w:rsidP="006D0CE9">
            <w:pPr>
              <w:spacing w:after="0" w:line="240" w:lineRule="auto"/>
              <w:ind w:right="-568" w:hanging="187"/>
              <w:jc w:val="center"/>
              <w:rPr>
                <w:rFonts w:asciiTheme="minorHAnsi" w:eastAsia="Times New Roman" w:hAnsiTheme="minorHAnsi" w:cstheme="minorHAnsi"/>
                <w:b/>
                <w:bCs/>
                <w:sz w:val="24"/>
                <w:szCs w:val="24"/>
                <w:lang w:eastAsia="pt-BR"/>
              </w:rPr>
            </w:pPr>
            <w:r w:rsidRPr="008B02D4">
              <w:rPr>
                <w:rFonts w:asciiTheme="minorHAnsi" w:eastAsia="Times New Roman" w:hAnsiTheme="minorHAnsi" w:cstheme="minorHAnsi"/>
                <w:b/>
                <w:bCs/>
                <w:sz w:val="24"/>
                <w:szCs w:val="24"/>
                <w:lang w:eastAsia="pt-BR"/>
              </w:rPr>
              <w:t>NOTA</w:t>
            </w:r>
          </w:p>
        </w:tc>
      </w:tr>
      <w:tr w:rsidR="00F27D64" w:rsidRPr="008B02D4" w14:paraId="324AC7CD" w14:textId="77777777" w:rsidTr="006D0CE9">
        <w:trPr>
          <w:trHeight w:val="293"/>
          <w:jc w:val="center"/>
        </w:trPr>
        <w:tc>
          <w:tcPr>
            <w:tcW w:w="1838" w:type="dxa"/>
            <w:vMerge/>
            <w:vAlign w:val="center"/>
            <w:hideMark/>
          </w:tcPr>
          <w:p w14:paraId="6B71716C" w14:textId="77777777" w:rsidR="00F27D64" w:rsidRPr="008B02D4" w:rsidRDefault="00F27D64" w:rsidP="006D0CE9">
            <w:pPr>
              <w:spacing w:after="0" w:line="240" w:lineRule="auto"/>
              <w:ind w:right="-568" w:firstLine="353"/>
              <w:rPr>
                <w:rFonts w:asciiTheme="minorHAnsi" w:eastAsia="Times New Roman" w:hAnsiTheme="minorHAnsi" w:cstheme="minorHAnsi"/>
                <w:b/>
                <w:bCs/>
                <w:sz w:val="24"/>
                <w:szCs w:val="24"/>
                <w:lang w:eastAsia="pt-BR"/>
              </w:rPr>
            </w:pPr>
          </w:p>
        </w:tc>
        <w:tc>
          <w:tcPr>
            <w:tcW w:w="1701" w:type="dxa"/>
            <w:vMerge/>
            <w:vAlign w:val="center"/>
            <w:hideMark/>
          </w:tcPr>
          <w:p w14:paraId="7A19291A" w14:textId="77777777" w:rsidR="00F27D64" w:rsidRPr="008B02D4" w:rsidRDefault="00F27D64" w:rsidP="006D0CE9">
            <w:pPr>
              <w:spacing w:after="0" w:line="240" w:lineRule="auto"/>
              <w:ind w:right="-568" w:hanging="187"/>
              <w:rPr>
                <w:rFonts w:asciiTheme="minorHAnsi" w:eastAsia="Times New Roman" w:hAnsiTheme="minorHAnsi" w:cstheme="minorHAnsi"/>
                <w:b/>
                <w:bCs/>
                <w:sz w:val="24"/>
                <w:szCs w:val="24"/>
                <w:lang w:eastAsia="pt-BR"/>
              </w:rPr>
            </w:pPr>
          </w:p>
        </w:tc>
      </w:tr>
      <w:tr w:rsidR="00F27D64" w:rsidRPr="008B02D4" w14:paraId="7FB96306" w14:textId="77777777" w:rsidTr="006D0CE9">
        <w:trPr>
          <w:trHeight w:val="264"/>
          <w:jc w:val="center"/>
        </w:trPr>
        <w:tc>
          <w:tcPr>
            <w:tcW w:w="1838" w:type="dxa"/>
            <w:shd w:val="clear" w:color="000000" w:fill="FFFFFF"/>
            <w:vAlign w:val="bottom"/>
            <w:hideMark/>
          </w:tcPr>
          <w:p w14:paraId="79DFD8F6" w14:textId="77777777" w:rsidR="00F27D64" w:rsidRPr="008B02D4" w:rsidRDefault="00F27D64" w:rsidP="006D0CE9">
            <w:pPr>
              <w:spacing w:after="0" w:line="240" w:lineRule="auto"/>
              <w:ind w:right="-568" w:firstLine="353"/>
              <w:rPr>
                <w:rFonts w:asciiTheme="minorHAnsi" w:eastAsia="Times New Roman" w:hAnsiTheme="minorHAnsi" w:cstheme="minorHAnsi"/>
                <w:sz w:val="24"/>
                <w:szCs w:val="24"/>
                <w:lang w:eastAsia="pt-BR"/>
              </w:rPr>
            </w:pPr>
            <w:r w:rsidRPr="008B02D4">
              <w:rPr>
                <w:rFonts w:asciiTheme="minorHAnsi" w:eastAsia="Times New Roman" w:hAnsiTheme="minorHAnsi" w:cstheme="minorHAnsi"/>
                <w:sz w:val="24"/>
                <w:szCs w:val="24"/>
                <w:lang w:eastAsia="pt-BR"/>
              </w:rPr>
              <w:t>Moody’s</w:t>
            </w:r>
          </w:p>
        </w:tc>
        <w:tc>
          <w:tcPr>
            <w:tcW w:w="1701" w:type="dxa"/>
            <w:shd w:val="clear" w:color="000000" w:fill="FFFFFF"/>
            <w:vAlign w:val="bottom"/>
            <w:hideMark/>
          </w:tcPr>
          <w:p w14:paraId="1B935F3D" w14:textId="77777777" w:rsidR="00F27D64" w:rsidRPr="008B02D4" w:rsidRDefault="00F27D64" w:rsidP="006D0CE9">
            <w:pPr>
              <w:spacing w:after="0" w:line="240" w:lineRule="auto"/>
              <w:ind w:right="-568" w:hanging="187"/>
              <w:jc w:val="center"/>
              <w:rPr>
                <w:rFonts w:asciiTheme="minorHAnsi" w:eastAsia="Times New Roman" w:hAnsiTheme="minorHAnsi" w:cstheme="minorHAnsi"/>
                <w:sz w:val="24"/>
                <w:szCs w:val="24"/>
                <w:lang w:eastAsia="pt-BR"/>
              </w:rPr>
            </w:pPr>
            <w:r w:rsidRPr="008B02D4">
              <w:rPr>
                <w:rFonts w:asciiTheme="minorHAnsi" w:eastAsia="Times New Roman" w:hAnsiTheme="minorHAnsi" w:cstheme="minorHAnsi"/>
                <w:sz w:val="24"/>
                <w:szCs w:val="24"/>
                <w:lang w:eastAsia="pt-BR"/>
              </w:rPr>
              <w:t xml:space="preserve"> MQ 2</w:t>
            </w:r>
          </w:p>
        </w:tc>
      </w:tr>
      <w:tr w:rsidR="00F27D64" w:rsidRPr="008B02D4" w14:paraId="6D5D2F3C" w14:textId="77777777" w:rsidTr="006D0CE9">
        <w:trPr>
          <w:trHeight w:val="264"/>
          <w:jc w:val="center"/>
        </w:trPr>
        <w:tc>
          <w:tcPr>
            <w:tcW w:w="1838" w:type="dxa"/>
            <w:shd w:val="clear" w:color="000000" w:fill="FFFFFF"/>
            <w:vAlign w:val="bottom"/>
            <w:hideMark/>
          </w:tcPr>
          <w:p w14:paraId="0618E268" w14:textId="77777777" w:rsidR="00F27D64" w:rsidRPr="008B02D4" w:rsidRDefault="00F27D64" w:rsidP="006D0CE9">
            <w:pPr>
              <w:spacing w:after="0" w:line="240" w:lineRule="auto"/>
              <w:ind w:right="-568" w:firstLine="353"/>
              <w:rPr>
                <w:rFonts w:asciiTheme="minorHAnsi" w:eastAsia="Times New Roman" w:hAnsiTheme="minorHAnsi" w:cstheme="minorHAnsi"/>
                <w:sz w:val="24"/>
                <w:szCs w:val="24"/>
                <w:lang w:eastAsia="pt-BR"/>
              </w:rPr>
            </w:pPr>
            <w:r w:rsidRPr="008B02D4">
              <w:rPr>
                <w:rFonts w:asciiTheme="minorHAnsi" w:eastAsia="Times New Roman" w:hAnsiTheme="minorHAnsi" w:cstheme="minorHAnsi"/>
                <w:sz w:val="24"/>
                <w:szCs w:val="24"/>
                <w:lang w:eastAsia="pt-BR"/>
              </w:rPr>
              <w:t xml:space="preserve">Fitch Ratings </w:t>
            </w:r>
          </w:p>
        </w:tc>
        <w:tc>
          <w:tcPr>
            <w:tcW w:w="1701" w:type="dxa"/>
            <w:shd w:val="clear" w:color="000000" w:fill="FFFFFF"/>
            <w:vAlign w:val="bottom"/>
            <w:hideMark/>
          </w:tcPr>
          <w:p w14:paraId="03B261C3" w14:textId="77777777" w:rsidR="00F27D64" w:rsidRPr="008B02D4" w:rsidRDefault="00F27D64" w:rsidP="006D0CE9">
            <w:pPr>
              <w:spacing w:after="0" w:line="240" w:lineRule="auto"/>
              <w:ind w:right="-568" w:hanging="187"/>
              <w:jc w:val="center"/>
              <w:rPr>
                <w:rFonts w:asciiTheme="minorHAnsi" w:eastAsia="Times New Roman" w:hAnsiTheme="minorHAnsi" w:cstheme="minorHAnsi"/>
                <w:sz w:val="24"/>
                <w:szCs w:val="24"/>
                <w:lang w:eastAsia="pt-BR"/>
              </w:rPr>
            </w:pPr>
            <w:r w:rsidRPr="008B02D4">
              <w:rPr>
                <w:rFonts w:asciiTheme="minorHAnsi" w:eastAsia="Times New Roman" w:hAnsiTheme="minorHAnsi" w:cstheme="minorHAnsi"/>
                <w:sz w:val="24"/>
                <w:szCs w:val="24"/>
                <w:lang w:eastAsia="pt-BR"/>
              </w:rPr>
              <w:t>M 2</w:t>
            </w:r>
          </w:p>
        </w:tc>
      </w:tr>
      <w:tr w:rsidR="00F27D64" w:rsidRPr="008B02D4" w14:paraId="1F98F213" w14:textId="77777777" w:rsidTr="006D0CE9">
        <w:trPr>
          <w:trHeight w:val="264"/>
          <w:jc w:val="center"/>
        </w:trPr>
        <w:tc>
          <w:tcPr>
            <w:tcW w:w="1838" w:type="dxa"/>
            <w:shd w:val="clear" w:color="000000" w:fill="FFFFFF"/>
            <w:vAlign w:val="bottom"/>
            <w:hideMark/>
          </w:tcPr>
          <w:p w14:paraId="2AE9EFE2" w14:textId="77777777" w:rsidR="00F27D64" w:rsidRPr="008B02D4" w:rsidRDefault="00F27D64" w:rsidP="006D0CE9">
            <w:pPr>
              <w:spacing w:after="0" w:line="240" w:lineRule="auto"/>
              <w:ind w:right="-568" w:firstLine="353"/>
              <w:rPr>
                <w:rFonts w:asciiTheme="minorHAnsi" w:eastAsia="Times New Roman" w:hAnsiTheme="minorHAnsi" w:cstheme="minorHAnsi"/>
                <w:sz w:val="24"/>
                <w:szCs w:val="24"/>
                <w:lang w:eastAsia="pt-BR"/>
              </w:rPr>
            </w:pPr>
            <w:r w:rsidRPr="008B02D4">
              <w:rPr>
                <w:rFonts w:asciiTheme="minorHAnsi" w:eastAsia="Times New Roman" w:hAnsiTheme="minorHAnsi" w:cstheme="minorHAnsi"/>
                <w:sz w:val="24"/>
                <w:szCs w:val="24"/>
                <w:lang w:eastAsia="pt-BR"/>
              </w:rPr>
              <w:t xml:space="preserve">SR Ratings </w:t>
            </w:r>
          </w:p>
        </w:tc>
        <w:tc>
          <w:tcPr>
            <w:tcW w:w="1701" w:type="dxa"/>
            <w:shd w:val="clear" w:color="000000" w:fill="FFFFFF"/>
            <w:vAlign w:val="bottom"/>
            <w:hideMark/>
          </w:tcPr>
          <w:p w14:paraId="6BA477E8" w14:textId="77777777" w:rsidR="00F27D64" w:rsidRPr="008B02D4" w:rsidRDefault="00F27D64" w:rsidP="006D0CE9">
            <w:pPr>
              <w:spacing w:after="0" w:line="240" w:lineRule="auto"/>
              <w:ind w:right="-568" w:hanging="187"/>
              <w:jc w:val="center"/>
              <w:rPr>
                <w:rFonts w:asciiTheme="minorHAnsi" w:eastAsia="Times New Roman" w:hAnsiTheme="minorHAnsi" w:cstheme="minorHAnsi"/>
                <w:sz w:val="24"/>
                <w:szCs w:val="24"/>
                <w:lang w:eastAsia="pt-BR"/>
              </w:rPr>
            </w:pPr>
            <w:r w:rsidRPr="008B02D4">
              <w:rPr>
                <w:rFonts w:asciiTheme="minorHAnsi" w:eastAsia="Times New Roman" w:hAnsiTheme="minorHAnsi" w:cstheme="minorHAnsi"/>
                <w:sz w:val="24"/>
                <w:szCs w:val="24"/>
                <w:lang w:eastAsia="pt-BR"/>
              </w:rPr>
              <w:t>G 2</w:t>
            </w:r>
          </w:p>
        </w:tc>
      </w:tr>
      <w:tr w:rsidR="00F27D64" w:rsidRPr="008B02D4" w14:paraId="109B04BB" w14:textId="77777777" w:rsidTr="006D0CE9">
        <w:trPr>
          <w:trHeight w:val="264"/>
          <w:jc w:val="center"/>
        </w:trPr>
        <w:tc>
          <w:tcPr>
            <w:tcW w:w="1838" w:type="dxa"/>
            <w:shd w:val="clear" w:color="000000" w:fill="FFFFFF"/>
            <w:vAlign w:val="bottom"/>
            <w:hideMark/>
          </w:tcPr>
          <w:p w14:paraId="498B80DE" w14:textId="77777777" w:rsidR="00F27D64" w:rsidRPr="008B02D4" w:rsidRDefault="00F27D64" w:rsidP="006D0CE9">
            <w:pPr>
              <w:spacing w:after="0" w:line="240" w:lineRule="auto"/>
              <w:ind w:right="-568" w:firstLine="353"/>
              <w:rPr>
                <w:rFonts w:asciiTheme="minorHAnsi" w:eastAsia="Times New Roman" w:hAnsiTheme="minorHAnsi" w:cstheme="minorHAnsi"/>
                <w:sz w:val="24"/>
                <w:szCs w:val="24"/>
                <w:lang w:eastAsia="pt-BR"/>
              </w:rPr>
            </w:pPr>
            <w:r w:rsidRPr="008B02D4">
              <w:rPr>
                <w:rFonts w:asciiTheme="minorHAnsi" w:eastAsia="Times New Roman" w:hAnsiTheme="minorHAnsi" w:cstheme="minorHAnsi"/>
                <w:sz w:val="24"/>
                <w:szCs w:val="24"/>
                <w:lang w:eastAsia="pt-BR"/>
              </w:rPr>
              <w:t xml:space="preserve">Austin Rating </w:t>
            </w:r>
          </w:p>
        </w:tc>
        <w:tc>
          <w:tcPr>
            <w:tcW w:w="1701" w:type="dxa"/>
            <w:shd w:val="clear" w:color="000000" w:fill="FFFFFF"/>
            <w:vAlign w:val="bottom"/>
            <w:hideMark/>
          </w:tcPr>
          <w:p w14:paraId="07DBA6CF" w14:textId="77777777" w:rsidR="00F27D64" w:rsidRPr="008B02D4" w:rsidRDefault="00F27D64" w:rsidP="006D0CE9">
            <w:pPr>
              <w:spacing w:after="0" w:line="240" w:lineRule="auto"/>
              <w:ind w:right="-568" w:hanging="187"/>
              <w:jc w:val="center"/>
              <w:rPr>
                <w:rFonts w:asciiTheme="minorHAnsi" w:eastAsia="Times New Roman" w:hAnsiTheme="minorHAnsi" w:cstheme="minorHAnsi"/>
                <w:sz w:val="24"/>
                <w:szCs w:val="24"/>
                <w:lang w:eastAsia="pt-BR"/>
              </w:rPr>
            </w:pPr>
            <w:r w:rsidRPr="008B02D4">
              <w:rPr>
                <w:rFonts w:asciiTheme="minorHAnsi" w:eastAsia="Times New Roman" w:hAnsiTheme="minorHAnsi" w:cstheme="minorHAnsi"/>
                <w:sz w:val="24"/>
                <w:szCs w:val="24"/>
                <w:lang w:eastAsia="pt-BR"/>
              </w:rPr>
              <w:t>QG 2</w:t>
            </w:r>
          </w:p>
        </w:tc>
      </w:tr>
      <w:tr w:rsidR="00F27D64" w:rsidRPr="008B02D4" w14:paraId="0D425FB6" w14:textId="77777777" w:rsidTr="006D0CE9">
        <w:trPr>
          <w:trHeight w:val="264"/>
          <w:jc w:val="center"/>
        </w:trPr>
        <w:tc>
          <w:tcPr>
            <w:tcW w:w="1838" w:type="dxa"/>
            <w:shd w:val="clear" w:color="000000" w:fill="FFFFFF"/>
            <w:vAlign w:val="bottom"/>
            <w:hideMark/>
          </w:tcPr>
          <w:p w14:paraId="26112FE2" w14:textId="77777777" w:rsidR="00F27D64" w:rsidRPr="008B02D4" w:rsidRDefault="00F27D64" w:rsidP="006D0CE9">
            <w:pPr>
              <w:spacing w:after="0" w:line="240" w:lineRule="auto"/>
              <w:ind w:right="-568" w:firstLine="353"/>
              <w:rPr>
                <w:rFonts w:asciiTheme="minorHAnsi" w:eastAsia="Times New Roman" w:hAnsiTheme="minorHAnsi" w:cstheme="minorHAnsi"/>
                <w:sz w:val="24"/>
                <w:szCs w:val="24"/>
                <w:lang w:eastAsia="pt-BR"/>
              </w:rPr>
            </w:pPr>
            <w:r w:rsidRPr="008B02D4">
              <w:rPr>
                <w:rFonts w:asciiTheme="minorHAnsi" w:eastAsia="Times New Roman" w:hAnsiTheme="minorHAnsi" w:cstheme="minorHAnsi"/>
                <w:sz w:val="24"/>
                <w:szCs w:val="24"/>
                <w:lang w:eastAsia="pt-BR"/>
              </w:rPr>
              <w:t xml:space="preserve">LF Rating </w:t>
            </w:r>
          </w:p>
        </w:tc>
        <w:tc>
          <w:tcPr>
            <w:tcW w:w="1701" w:type="dxa"/>
            <w:shd w:val="clear" w:color="000000" w:fill="FFFFFF"/>
            <w:vAlign w:val="bottom"/>
            <w:hideMark/>
          </w:tcPr>
          <w:p w14:paraId="7C66C28C" w14:textId="77777777" w:rsidR="00F27D64" w:rsidRPr="008B02D4" w:rsidRDefault="00F27D64" w:rsidP="006D0CE9">
            <w:pPr>
              <w:spacing w:after="0" w:line="240" w:lineRule="auto"/>
              <w:ind w:right="-568" w:hanging="187"/>
              <w:jc w:val="center"/>
              <w:rPr>
                <w:rFonts w:asciiTheme="minorHAnsi" w:eastAsia="Times New Roman" w:hAnsiTheme="minorHAnsi" w:cstheme="minorHAnsi"/>
                <w:sz w:val="24"/>
                <w:szCs w:val="24"/>
                <w:lang w:eastAsia="pt-BR"/>
              </w:rPr>
            </w:pPr>
            <w:r w:rsidRPr="008B02D4">
              <w:rPr>
                <w:rFonts w:asciiTheme="minorHAnsi" w:eastAsia="Times New Roman" w:hAnsiTheme="minorHAnsi" w:cstheme="minorHAnsi"/>
                <w:sz w:val="24"/>
                <w:szCs w:val="24"/>
                <w:lang w:eastAsia="pt-BR"/>
              </w:rPr>
              <w:t>LF G 2</w:t>
            </w:r>
          </w:p>
        </w:tc>
      </w:tr>
    </w:tbl>
    <w:p w14:paraId="5CAA3019" w14:textId="77777777" w:rsidR="00945AA4" w:rsidRPr="008B02D4" w:rsidRDefault="00945AA4" w:rsidP="00B03275">
      <w:pPr>
        <w:ind w:right="-568" w:firstLine="851"/>
        <w:rPr>
          <w:rFonts w:asciiTheme="minorHAnsi" w:hAnsiTheme="minorHAnsi" w:cstheme="minorHAnsi"/>
          <w:sz w:val="24"/>
          <w:szCs w:val="24"/>
        </w:rPr>
      </w:pPr>
    </w:p>
    <w:p w14:paraId="32012357" w14:textId="03FE64D7" w:rsidR="00F27D64" w:rsidRPr="008B02D4" w:rsidRDefault="00F27D64" w:rsidP="007273DF">
      <w:pPr>
        <w:pStyle w:val="Ttulo2"/>
        <w:numPr>
          <w:ilvl w:val="1"/>
          <w:numId w:val="4"/>
        </w:numPr>
        <w:spacing w:before="120" w:after="120" w:line="240" w:lineRule="auto"/>
        <w:ind w:left="0" w:right="-568" w:firstLine="851"/>
        <w:jc w:val="both"/>
        <w:rPr>
          <w:rFonts w:asciiTheme="minorHAnsi" w:hAnsiTheme="minorHAnsi" w:cstheme="minorHAnsi"/>
          <w:b/>
          <w:bCs/>
          <w:szCs w:val="24"/>
        </w:rPr>
      </w:pPr>
      <w:bookmarkStart w:id="13" w:name="_Toc93910756"/>
      <w:r w:rsidRPr="008B02D4">
        <w:rPr>
          <w:rFonts w:asciiTheme="minorHAnsi" w:eastAsia="Calibri" w:hAnsiTheme="minorHAnsi" w:cstheme="minorHAnsi"/>
          <w:b/>
          <w:bCs/>
          <w:szCs w:val="24"/>
        </w:rPr>
        <w:t>Risco de Mercado</w:t>
      </w:r>
      <w:bookmarkEnd w:id="13"/>
    </w:p>
    <w:p w14:paraId="70B58EE7" w14:textId="77777777" w:rsidR="00F27D64" w:rsidRPr="008B02D4" w:rsidRDefault="00F27D64" w:rsidP="00B03275">
      <w:pPr>
        <w:spacing w:before="120" w:after="120" w:line="240" w:lineRule="auto"/>
        <w:ind w:right="-568" w:firstLine="851"/>
        <w:jc w:val="both"/>
        <w:rPr>
          <w:rFonts w:asciiTheme="minorHAnsi" w:hAnsiTheme="minorHAnsi" w:cstheme="minorHAnsi"/>
          <w:sz w:val="24"/>
          <w:szCs w:val="24"/>
        </w:rPr>
      </w:pPr>
    </w:p>
    <w:p w14:paraId="00382D02" w14:textId="77777777" w:rsidR="00F27D64" w:rsidRPr="008B02D4" w:rsidRDefault="00F27D64" w:rsidP="00B03275">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lastRenderedPageBreak/>
        <w:t>O Risco de Mercado é a oscilação dos parâmetros macroeconômicos que afetam os preços dos ativos. É o risco relacionado às operações realizadas no mercado acionário, câmbio, taxa de juros, commodities, entre outras variáveis. Para acompanhar esta oscilação, existem métodos de aferição estatístico-financeira. O mais usual a ser utilizado é o VaR (Value-at-Risk).</w:t>
      </w:r>
    </w:p>
    <w:p w14:paraId="1270109B" w14:textId="77777777" w:rsidR="00F27D64" w:rsidRPr="008B02D4" w:rsidRDefault="00F27D64"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A principal intenção deste método de aferição é auxiliar no controle da volatilidade da cota dos Planos de Benefícios.</w:t>
      </w:r>
    </w:p>
    <w:p w14:paraId="7039C350" w14:textId="77777777" w:rsidR="00F27D64" w:rsidRPr="008B02D4" w:rsidRDefault="00F27D64" w:rsidP="007273DF">
      <w:pPr>
        <w:spacing w:before="120" w:after="120" w:line="240" w:lineRule="auto"/>
        <w:ind w:right="-568" w:firstLine="851"/>
        <w:jc w:val="both"/>
        <w:rPr>
          <w:rFonts w:asciiTheme="minorHAnsi" w:hAnsiTheme="minorHAnsi" w:cstheme="minorHAnsi"/>
          <w:sz w:val="24"/>
          <w:szCs w:val="24"/>
        </w:rPr>
      </w:pPr>
    </w:p>
    <w:p w14:paraId="7306C623" w14:textId="77777777" w:rsidR="00F27D64" w:rsidRPr="008B02D4" w:rsidRDefault="00F27D64" w:rsidP="007273DF">
      <w:pPr>
        <w:pStyle w:val="Ttulo2"/>
        <w:numPr>
          <w:ilvl w:val="1"/>
          <w:numId w:val="4"/>
        </w:numPr>
        <w:ind w:left="0" w:right="-568" w:firstLine="851"/>
        <w:rPr>
          <w:rFonts w:asciiTheme="minorHAnsi" w:hAnsiTheme="minorHAnsi" w:cstheme="minorHAnsi"/>
          <w:b/>
          <w:bCs/>
          <w:szCs w:val="24"/>
        </w:rPr>
      </w:pPr>
      <w:bookmarkStart w:id="14" w:name="_Toc93910757"/>
      <w:r w:rsidRPr="008B02D4">
        <w:rPr>
          <w:rFonts w:asciiTheme="minorHAnsi" w:hAnsiTheme="minorHAnsi" w:cstheme="minorHAnsi"/>
          <w:b/>
          <w:bCs/>
          <w:szCs w:val="24"/>
        </w:rPr>
        <w:t>Risco de Crédito</w:t>
      </w:r>
      <w:bookmarkEnd w:id="14"/>
    </w:p>
    <w:p w14:paraId="65EC2EDD" w14:textId="77777777" w:rsidR="00F27D64" w:rsidRPr="008B02D4" w:rsidRDefault="00F27D64" w:rsidP="007273DF">
      <w:pPr>
        <w:ind w:right="-568" w:firstLine="851"/>
        <w:jc w:val="both"/>
        <w:rPr>
          <w:rFonts w:asciiTheme="minorHAnsi" w:hAnsiTheme="minorHAnsi" w:cstheme="minorHAnsi"/>
          <w:sz w:val="24"/>
          <w:szCs w:val="24"/>
        </w:rPr>
      </w:pPr>
    </w:p>
    <w:p w14:paraId="30CEC1C2" w14:textId="58EE7706" w:rsidR="00F27D64" w:rsidRPr="008B02D4" w:rsidRDefault="00D5474A"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O RPPS </w:t>
      </w:r>
      <w:r w:rsidR="00F27D64" w:rsidRPr="008B02D4">
        <w:rPr>
          <w:rFonts w:asciiTheme="minorHAnsi" w:hAnsiTheme="minorHAnsi" w:cstheme="minorHAnsi"/>
          <w:sz w:val="24"/>
          <w:szCs w:val="24"/>
          <w:lang w:eastAsia="pt-BR"/>
        </w:rPr>
        <w:t>utilizará para essa avaliação do risco os ratings atribuídos por agência classificadora de risco de crédito atuante no Brasil.</w:t>
      </w:r>
    </w:p>
    <w:p w14:paraId="06EBF16B" w14:textId="77777777" w:rsidR="00F27D64" w:rsidRPr="008B02D4" w:rsidRDefault="00F27D64" w:rsidP="007273DF">
      <w:pPr>
        <w:ind w:right="-568" w:firstLine="851"/>
        <w:rPr>
          <w:rFonts w:asciiTheme="minorHAnsi" w:hAnsiTheme="minorHAnsi" w:cstheme="minorHAnsi"/>
          <w:sz w:val="24"/>
          <w:szCs w:val="24"/>
        </w:rPr>
      </w:pPr>
    </w:p>
    <w:p w14:paraId="2499435B" w14:textId="77777777" w:rsidR="00F27D64" w:rsidRPr="008B02D4" w:rsidRDefault="00F27D64" w:rsidP="007273DF">
      <w:pPr>
        <w:pStyle w:val="Ttulo2"/>
        <w:numPr>
          <w:ilvl w:val="1"/>
          <w:numId w:val="4"/>
        </w:numPr>
        <w:ind w:left="0" w:right="-568" w:firstLine="851"/>
        <w:rPr>
          <w:rFonts w:asciiTheme="minorHAnsi" w:hAnsiTheme="minorHAnsi" w:cstheme="minorHAnsi"/>
          <w:b/>
          <w:bCs/>
          <w:szCs w:val="24"/>
        </w:rPr>
      </w:pPr>
      <w:bookmarkStart w:id="15" w:name="_Toc93910758"/>
      <w:r w:rsidRPr="008B02D4">
        <w:rPr>
          <w:rFonts w:asciiTheme="minorHAnsi" w:hAnsiTheme="minorHAnsi" w:cstheme="minorHAnsi"/>
          <w:b/>
          <w:bCs/>
          <w:szCs w:val="24"/>
        </w:rPr>
        <w:t>Risco de Liquidez</w:t>
      </w:r>
      <w:bookmarkEnd w:id="15"/>
    </w:p>
    <w:p w14:paraId="26B9B75A" w14:textId="77777777" w:rsidR="00F27D64" w:rsidRPr="008B02D4" w:rsidRDefault="00F27D64" w:rsidP="007273DF">
      <w:pPr>
        <w:ind w:right="-568" w:firstLine="851"/>
        <w:rPr>
          <w:rFonts w:asciiTheme="minorHAnsi" w:hAnsiTheme="minorHAnsi" w:cstheme="minorHAnsi"/>
          <w:sz w:val="24"/>
          <w:szCs w:val="24"/>
        </w:rPr>
      </w:pPr>
    </w:p>
    <w:p w14:paraId="3DBBC180" w14:textId="77777777" w:rsidR="00F27D64" w:rsidRPr="008B02D4" w:rsidRDefault="00F27D64"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Existem duas classes deste risco. A primeira se refere a indisponibilidade de recursos para o pagamento de obrigações. Isto depende do planejamento estratégico dos investimentos do plano. A aquisição dos títulos ou valores podem gerar um descasamento nos pagamentos. </w:t>
      </w:r>
    </w:p>
    <w:p w14:paraId="24AB4FE3" w14:textId="2D301CAE" w:rsidR="00F27D64" w:rsidRPr="008B02D4" w:rsidRDefault="00F27D64" w:rsidP="0005295E">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Já a segunda sobre a possibilidade da redução da demanda de mercado para a compra/venda dos títulos e valores mobiliários contidos na carteira.</w:t>
      </w:r>
    </w:p>
    <w:p w14:paraId="5B247594" w14:textId="77777777" w:rsidR="00F27D64" w:rsidRPr="008B02D4" w:rsidRDefault="00F27D64" w:rsidP="007273DF">
      <w:pPr>
        <w:pStyle w:val="Ttulo2"/>
        <w:numPr>
          <w:ilvl w:val="1"/>
          <w:numId w:val="4"/>
        </w:numPr>
        <w:ind w:left="0" w:right="-568" w:firstLine="851"/>
        <w:jc w:val="both"/>
        <w:rPr>
          <w:rFonts w:asciiTheme="minorHAnsi" w:hAnsiTheme="minorHAnsi" w:cstheme="minorHAnsi"/>
          <w:b/>
          <w:bCs/>
          <w:szCs w:val="24"/>
        </w:rPr>
      </w:pPr>
      <w:bookmarkStart w:id="16" w:name="_Toc93910759"/>
      <w:r w:rsidRPr="008B02D4">
        <w:rPr>
          <w:rFonts w:asciiTheme="minorHAnsi" w:hAnsiTheme="minorHAnsi" w:cstheme="minorHAnsi"/>
          <w:b/>
          <w:bCs/>
          <w:szCs w:val="24"/>
        </w:rPr>
        <w:t>Risco Sistêmico</w:t>
      </w:r>
      <w:bookmarkEnd w:id="16"/>
      <w:r w:rsidRPr="008B02D4">
        <w:rPr>
          <w:rFonts w:asciiTheme="minorHAnsi" w:hAnsiTheme="minorHAnsi" w:cstheme="minorHAnsi"/>
          <w:b/>
          <w:bCs/>
          <w:szCs w:val="24"/>
        </w:rPr>
        <w:t xml:space="preserve"> </w:t>
      </w:r>
    </w:p>
    <w:p w14:paraId="20BF9EDC" w14:textId="77777777" w:rsidR="00F27D64" w:rsidRPr="008B02D4" w:rsidRDefault="00F27D64" w:rsidP="007273DF">
      <w:pPr>
        <w:ind w:right="-568" w:firstLine="851"/>
        <w:jc w:val="both"/>
        <w:rPr>
          <w:rFonts w:asciiTheme="minorHAnsi" w:hAnsiTheme="minorHAnsi" w:cstheme="minorHAnsi"/>
          <w:sz w:val="24"/>
          <w:szCs w:val="24"/>
        </w:rPr>
      </w:pPr>
    </w:p>
    <w:p w14:paraId="723E2D91" w14:textId="77777777" w:rsidR="00F27D64" w:rsidRPr="008B02D4" w:rsidRDefault="00F27D64"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O risco sistêmico se configura em uma possibilidade de ocorrência de uma contaminação por um determinado evento de todo o mercado financeiro, como por exemplo, o processo de falência de um banco ou uma empresa. Para mitigar os riscos devem ser analisados os cenários econômicos, seja ele possível, provável ou remoto.</w:t>
      </w:r>
    </w:p>
    <w:p w14:paraId="4BEE0B00" w14:textId="5291015C" w:rsidR="00F27D64" w:rsidRPr="008B02D4" w:rsidRDefault="00F27D64"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Para mitigar os efeitos, e a sucessibilidade dos investimentos, a alocação dos recursos deve levar em consideração os aspectos de diversificação de carteira e de gestão. </w:t>
      </w:r>
    </w:p>
    <w:p w14:paraId="1FEE16BE" w14:textId="0BEB3538" w:rsidR="00887996" w:rsidRPr="008B02D4" w:rsidRDefault="00887996"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130973E7" w14:textId="481FC78B" w:rsidR="00887996" w:rsidRPr="008B02D4" w:rsidRDefault="00887996" w:rsidP="007273DF">
      <w:pPr>
        <w:pStyle w:val="Ttulo2"/>
        <w:numPr>
          <w:ilvl w:val="1"/>
          <w:numId w:val="4"/>
        </w:numPr>
        <w:ind w:left="0" w:right="-568" w:firstLine="851"/>
        <w:jc w:val="both"/>
        <w:rPr>
          <w:rFonts w:asciiTheme="minorHAnsi" w:hAnsiTheme="minorHAnsi" w:cstheme="minorHAnsi"/>
          <w:b/>
          <w:bCs/>
          <w:szCs w:val="24"/>
        </w:rPr>
      </w:pPr>
      <w:bookmarkStart w:id="17" w:name="_Toc93910760"/>
      <w:r w:rsidRPr="008B02D4">
        <w:rPr>
          <w:rFonts w:asciiTheme="minorHAnsi" w:hAnsiTheme="minorHAnsi" w:cstheme="minorHAnsi"/>
          <w:b/>
          <w:bCs/>
          <w:szCs w:val="24"/>
        </w:rPr>
        <w:lastRenderedPageBreak/>
        <w:t>Risco de desenquadramento</w:t>
      </w:r>
      <w:bookmarkEnd w:id="17"/>
    </w:p>
    <w:p w14:paraId="3B8AA205" w14:textId="77777777" w:rsidR="00887996" w:rsidRPr="008B02D4" w:rsidRDefault="00887996" w:rsidP="007273DF">
      <w:pPr>
        <w:pStyle w:val="Ttulo2"/>
        <w:ind w:right="-568" w:firstLine="851"/>
        <w:jc w:val="both"/>
        <w:rPr>
          <w:rFonts w:asciiTheme="minorHAnsi" w:hAnsiTheme="minorHAnsi" w:cstheme="minorHAnsi"/>
          <w:szCs w:val="24"/>
        </w:rPr>
      </w:pPr>
    </w:p>
    <w:p w14:paraId="3CBFAAA7" w14:textId="77777777" w:rsidR="00887996" w:rsidRPr="008B02D4" w:rsidRDefault="00887996"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Em caso de desenquadramento passivo, o RPPS deverá adotar as seguintes medidas: </w:t>
      </w:r>
    </w:p>
    <w:p w14:paraId="1B5D58CA" w14:textId="77777777" w:rsidR="00887996" w:rsidRPr="008B02D4" w:rsidRDefault="00887996"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a)</w:t>
      </w:r>
      <w:r w:rsidRPr="008B02D4">
        <w:rPr>
          <w:rFonts w:asciiTheme="minorHAnsi" w:hAnsiTheme="minorHAnsi" w:cstheme="minorHAnsi"/>
          <w:sz w:val="24"/>
          <w:szCs w:val="24"/>
          <w:lang w:eastAsia="pt-BR"/>
        </w:rPr>
        <w:sym w:font="Symbol" w:char="F020"/>
      </w:r>
      <w:r w:rsidRPr="008B02D4">
        <w:rPr>
          <w:rFonts w:asciiTheme="minorHAnsi" w:hAnsiTheme="minorHAnsi" w:cstheme="minorHAnsi"/>
          <w:sz w:val="24"/>
          <w:szCs w:val="24"/>
          <w:lang w:eastAsia="pt-BR"/>
        </w:rPr>
        <w:t xml:space="preserve">Para fundos abertos: solicitar o resgate dos recursos que excederem o limite permitido pela legislação até o fim do mês subsequente ao recebimento dos extratos bancários. O efetivo pagamento do resgate ocorrerá conforme as regras estipuladas no regulamento do fundo. </w:t>
      </w:r>
    </w:p>
    <w:p w14:paraId="46E643F8" w14:textId="77777777" w:rsidR="00887996" w:rsidRPr="008B02D4" w:rsidRDefault="00887996"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b)</w:t>
      </w:r>
      <w:r w:rsidRPr="008B02D4">
        <w:rPr>
          <w:rFonts w:asciiTheme="minorHAnsi" w:hAnsiTheme="minorHAnsi" w:cstheme="minorHAnsi"/>
          <w:sz w:val="24"/>
          <w:szCs w:val="24"/>
          <w:lang w:eastAsia="pt-BR"/>
        </w:rPr>
        <w:sym w:font="Symbol" w:char="F020"/>
      </w:r>
      <w:r w:rsidRPr="008B02D4">
        <w:rPr>
          <w:rFonts w:asciiTheme="minorHAnsi" w:hAnsiTheme="minorHAnsi" w:cstheme="minorHAnsi"/>
          <w:sz w:val="24"/>
          <w:szCs w:val="24"/>
          <w:lang w:eastAsia="pt-BR"/>
        </w:rPr>
        <w:t xml:space="preserve">Para fundos fechados: No caso de fundos fechados, o RPPS deverá efetuar consulta ao Administrador do fundo para verificar quais as possibilidades de adequação. Caso não seja possível resolver o desenquadramento passivo, permanecer com os recursos até o prazo estipulado em regulamento. </w:t>
      </w:r>
    </w:p>
    <w:p w14:paraId="25C4DDBE" w14:textId="15DC2FF4" w:rsidR="00BE5A1E" w:rsidRPr="008B02D4" w:rsidRDefault="00887996" w:rsidP="00347C41">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c)</w:t>
      </w:r>
      <w:r w:rsidRPr="008B02D4">
        <w:rPr>
          <w:rFonts w:asciiTheme="minorHAnsi" w:hAnsiTheme="minorHAnsi" w:cstheme="minorHAnsi"/>
          <w:sz w:val="24"/>
          <w:szCs w:val="24"/>
          <w:lang w:eastAsia="pt-BR"/>
        </w:rPr>
        <w:sym w:font="Symbol" w:char="F020"/>
      </w:r>
      <w:r w:rsidRPr="008B02D4">
        <w:rPr>
          <w:rFonts w:asciiTheme="minorHAnsi" w:hAnsiTheme="minorHAnsi" w:cstheme="minorHAnsi"/>
          <w:sz w:val="24"/>
          <w:szCs w:val="24"/>
          <w:lang w:eastAsia="pt-BR"/>
        </w:rPr>
        <w:t xml:space="preserve">As aplicações que apresentem prazos para vencimento, resgate, carência ou para conversão de cotas de fundos de investimento, ou taxa de saída, previstas em seu regulamento então vigente poderão ser mantidas em carteira até a respectiva data, caso superior ao prazo previsto no caput. Nos casos de desenquadramento passivo por alteração da legislação, a Diretoria Financeira deverá avaliar junto ao Comitê de Investimentos, o mais breve possível, as medidas de contingenciamento necessárias. </w:t>
      </w:r>
    </w:p>
    <w:p w14:paraId="68652611" w14:textId="77777777" w:rsidR="00BE5A1E" w:rsidRPr="008B02D4" w:rsidRDefault="00BE5A1E"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05707066" w14:textId="60DBFDF5" w:rsidR="006208FF" w:rsidRPr="00783F9A" w:rsidRDefault="006208FF" w:rsidP="001E31F6">
      <w:pPr>
        <w:pStyle w:val="PargrafodaLista"/>
        <w:numPr>
          <w:ilvl w:val="0"/>
          <w:numId w:val="4"/>
        </w:numPr>
        <w:autoSpaceDE w:val="0"/>
        <w:autoSpaceDN w:val="0"/>
        <w:adjustRightInd w:val="0"/>
        <w:spacing w:before="120" w:after="0" w:line="360" w:lineRule="auto"/>
        <w:ind w:left="0" w:right="-568" w:firstLine="851"/>
        <w:jc w:val="both"/>
        <w:rPr>
          <w:rFonts w:asciiTheme="minorHAnsi" w:hAnsiTheme="minorHAnsi" w:cstheme="minorHAnsi"/>
          <w:sz w:val="24"/>
          <w:szCs w:val="24"/>
          <w:lang w:eastAsia="pt-BR"/>
        </w:rPr>
      </w:pPr>
      <w:bookmarkStart w:id="18" w:name="_Toc93910761"/>
      <w:r w:rsidRPr="00783F9A">
        <w:rPr>
          <w:rStyle w:val="Ttulo1Char"/>
          <w:rFonts w:asciiTheme="minorHAnsi" w:hAnsiTheme="minorHAnsi" w:cstheme="minorHAnsi"/>
          <w:szCs w:val="24"/>
        </w:rPr>
        <w:t>Enquadramento</w:t>
      </w:r>
      <w:bookmarkEnd w:id="18"/>
    </w:p>
    <w:p w14:paraId="45949D65" w14:textId="77777777" w:rsidR="006208FF" w:rsidRPr="008B02D4" w:rsidRDefault="006208FF"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Os investimentos que foram realizados antes da entrada em vigor da Resolução CMN 4.963/21 e Portaria MPS 519 de agosto de 2011, e cujos regulamentos estejam em desacordo com as legislações citadas, poderão ser mantidas em carteiras até o vencimento ou carência, desde que sejam solicitados os resgates e, que sejam lançados no CADPREV-DAIR como ativos em enquadramento.     </w:t>
      </w:r>
    </w:p>
    <w:p w14:paraId="71670933" w14:textId="77777777" w:rsidR="006208FF" w:rsidRPr="008B02D4" w:rsidRDefault="006208FF"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Essa política de investimento deverá ser obrigatoriamente conjuntamente assinada por pessoa devidamente credenciada pelos órgãos reguladores de certificação continuada nos termos da legislação em vigor, pelo Prefeito Municipal, pelo Superintendente do RPPS pelos Membros do Comitê de Investimentos e pelos Membros dos Conselhos.   </w:t>
      </w:r>
    </w:p>
    <w:p w14:paraId="6CAD460E" w14:textId="657A9491" w:rsidR="00444AF3" w:rsidRPr="008B02D4" w:rsidRDefault="00600DDD" w:rsidP="007273DF">
      <w:pPr>
        <w:pStyle w:val="Ttulo1"/>
        <w:numPr>
          <w:ilvl w:val="0"/>
          <w:numId w:val="4"/>
        </w:numPr>
        <w:ind w:left="0" w:right="-568" w:firstLine="851"/>
        <w:rPr>
          <w:rFonts w:asciiTheme="minorHAnsi" w:hAnsiTheme="minorHAnsi" w:cstheme="minorHAnsi"/>
          <w:szCs w:val="24"/>
          <w:lang w:eastAsia="pt-BR"/>
        </w:rPr>
      </w:pPr>
      <w:bookmarkStart w:id="19" w:name="_Toc93910762"/>
      <w:r w:rsidRPr="008B02D4">
        <w:rPr>
          <w:rFonts w:asciiTheme="minorHAnsi" w:hAnsiTheme="minorHAnsi" w:cstheme="minorHAnsi"/>
          <w:szCs w:val="24"/>
          <w:lang w:eastAsia="pt-BR"/>
        </w:rPr>
        <w:lastRenderedPageBreak/>
        <w:t xml:space="preserve">Limites de </w:t>
      </w:r>
      <w:r w:rsidR="005506BB" w:rsidRPr="008B02D4">
        <w:rPr>
          <w:rFonts w:asciiTheme="minorHAnsi" w:hAnsiTheme="minorHAnsi" w:cstheme="minorHAnsi"/>
          <w:szCs w:val="24"/>
          <w:lang w:eastAsia="pt-BR"/>
        </w:rPr>
        <w:t>Alocação</w:t>
      </w:r>
      <w:r w:rsidR="00261DFA" w:rsidRPr="008B02D4">
        <w:rPr>
          <w:rFonts w:asciiTheme="minorHAnsi" w:hAnsiTheme="minorHAnsi" w:cstheme="minorHAnsi"/>
          <w:szCs w:val="24"/>
          <w:lang w:eastAsia="pt-BR"/>
        </w:rPr>
        <w:t xml:space="preserve"> dos Recursos</w:t>
      </w:r>
      <w:bookmarkEnd w:id="19"/>
    </w:p>
    <w:p w14:paraId="62ED6A17" w14:textId="77777777" w:rsidR="00883D9B" w:rsidRPr="008B02D4" w:rsidRDefault="00883D9B"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68361EE2" w14:textId="3B285ADD" w:rsidR="00747C83" w:rsidRPr="008B02D4" w:rsidRDefault="00444AF3"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A carteira atual d</w:t>
      </w:r>
      <w:r w:rsidR="003F0783" w:rsidRPr="008B02D4">
        <w:rPr>
          <w:rFonts w:asciiTheme="minorHAnsi" w:hAnsiTheme="minorHAnsi" w:cstheme="minorHAnsi"/>
          <w:sz w:val="24"/>
          <w:szCs w:val="24"/>
          <w:lang w:eastAsia="pt-BR"/>
        </w:rPr>
        <w:t>o RPPS</w:t>
      </w:r>
      <w:r w:rsidRPr="008B02D4">
        <w:rPr>
          <w:rFonts w:asciiTheme="minorHAnsi" w:hAnsiTheme="minorHAnsi" w:cstheme="minorHAnsi"/>
          <w:sz w:val="24"/>
          <w:szCs w:val="24"/>
          <w:lang w:eastAsia="pt-BR"/>
        </w:rPr>
        <w:t>, demonstra os percentuais de alocação, assim como os limites legais observados</w:t>
      </w:r>
      <w:r w:rsidR="005506BB" w:rsidRPr="008B02D4">
        <w:rPr>
          <w:rFonts w:asciiTheme="minorHAnsi" w:hAnsiTheme="minorHAnsi" w:cstheme="minorHAnsi"/>
          <w:sz w:val="24"/>
          <w:szCs w:val="24"/>
          <w:lang w:eastAsia="pt-BR"/>
        </w:rPr>
        <w:t xml:space="preserve"> nos segmentos definidos pela Resolução CMN nº </w:t>
      </w:r>
      <w:r w:rsidR="00A164FE" w:rsidRPr="008B02D4">
        <w:rPr>
          <w:rFonts w:asciiTheme="minorHAnsi" w:hAnsiTheme="minorHAnsi" w:cstheme="minorHAnsi"/>
          <w:sz w:val="24"/>
          <w:szCs w:val="24"/>
          <w:lang w:eastAsia="pt-BR"/>
        </w:rPr>
        <w:t>4.963/21</w:t>
      </w:r>
      <w:r w:rsidR="005506BB" w:rsidRPr="008B02D4">
        <w:rPr>
          <w:rFonts w:asciiTheme="minorHAnsi" w:hAnsiTheme="minorHAnsi" w:cstheme="minorHAnsi"/>
          <w:sz w:val="24"/>
          <w:szCs w:val="24"/>
          <w:lang w:eastAsia="pt-BR"/>
        </w:rPr>
        <w:t xml:space="preserve">. </w:t>
      </w:r>
      <w:r w:rsidR="00747C83" w:rsidRPr="008B02D4">
        <w:rPr>
          <w:rFonts w:asciiTheme="minorHAnsi" w:hAnsiTheme="minorHAnsi" w:cstheme="minorHAnsi"/>
          <w:sz w:val="24"/>
          <w:szCs w:val="24"/>
          <w:lang w:eastAsia="pt-BR"/>
        </w:rPr>
        <w:t>A análise e avaliação das adversidades e das oportunidades, observadas em cenários futuros, contribuem para a formação de uma visão ampla para o, visando assim a estabilidade e a solidez do sistema.</w:t>
      </w:r>
    </w:p>
    <w:p w14:paraId="42313088" w14:textId="2B87B5A6" w:rsidR="00747C83" w:rsidRPr="008B02D4" w:rsidRDefault="00747C83"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Logo, a estratégia de alocação dos recursos para os próximos cinco anos, leva em consideração o grau de maturação, suas especificidades e as características de suas obrigações, bem como o cenário macroeconômico, determinam as diretrizes dos investimentos.</w:t>
      </w:r>
    </w:p>
    <w:p w14:paraId="1429CB14" w14:textId="477AB870" w:rsidR="005506BB" w:rsidRPr="008B02D4" w:rsidRDefault="005506BB"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Essa </w:t>
      </w:r>
      <w:r w:rsidR="00747C83" w:rsidRPr="008B02D4">
        <w:rPr>
          <w:rFonts w:asciiTheme="minorHAnsi" w:hAnsiTheme="minorHAnsi" w:cstheme="minorHAnsi"/>
          <w:sz w:val="24"/>
          <w:szCs w:val="24"/>
          <w:lang w:eastAsia="pt-BR"/>
        </w:rPr>
        <w:t>análise</w:t>
      </w:r>
      <w:r w:rsidRPr="008B02D4">
        <w:rPr>
          <w:rFonts w:asciiTheme="minorHAnsi" w:hAnsiTheme="minorHAnsi" w:cstheme="minorHAnsi"/>
          <w:sz w:val="24"/>
          <w:szCs w:val="24"/>
          <w:lang w:eastAsia="pt-BR"/>
        </w:rPr>
        <w:t xml:space="preserve"> tem como intuito determinar a alocação estratégica a ser perseguida ao longo do exercício desta Política de Investimento que melhor reflita as necessidades do passivo d</w:t>
      </w:r>
      <w:r w:rsidR="00861E40" w:rsidRPr="008B02D4">
        <w:rPr>
          <w:rFonts w:asciiTheme="minorHAnsi" w:hAnsiTheme="minorHAnsi" w:cstheme="minorHAnsi"/>
          <w:sz w:val="24"/>
          <w:szCs w:val="24"/>
          <w:lang w:eastAsia="pt-BR"/>
        </w:rPr>
        <w:t>o RPPS</w:t>
      </w:r>
      <w:r w:rsidRPr="008B02D4">
        <w:rPr>
          <w:rFonts w:asciiTheme="minorHAnsi" w:hAnsiTheme="minorHAnsi" w:cstheme="minorHAnsi"/>
          <w:sz w:val="24"/>
          <w:szCs w:val="24"/>
          <w:lang w:eastAsia="pt-BR"/>
        </w:rPr>
        <w:t>.</w:t>
      </w:r>
    </w:p>
    <w:p w14:paraId="5532CCD2" w14:textId="77777777" w:rsidR="00C85284" w:rsidRPr="008B02D4" w:rsidRDefault="00C85284" w:rsidP="007273DF">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151B408C" w14:textId="052F2701" w:rsidR="006208FF" w:rsidRPr="000C3790" w:rsidRDefault="006208FF" w:rsidP="00B03275">
      <w:pPr>
        <w:autoSpaceDE w:val="0"/>
        <w:autoSpaceDN w:val="0"/>
        <w:adjustRightInd w:val="0"/>
        <w:spacing w:after="0" w:line="360" w:lineRule="auto"/>
        <w:ind w:right="-568" w:firstLine="851"/>
        <w:jc w:val="both"/>
        <w:rPr>
          <w:rFonts w:cs="Calibri"/>
          <w:sz w:val="24"/>
          <w:szCs w:val="24"/>
          <w:lang w:eastAsia="pt-BR"/>
        </w:rPr>
        <w:sectPr w:rsidR="006208FF" w:rsidRPr="000C3790" w:rsidSect="00B95C8E">
          <w:headerReference w:type="default" r:id="rId15"/>
          <w:footerReference w:type="default" r:id="rId16"/>
          <w:pgSz w:w="11906" w:h="16838"/>
          <w:pgMar w:top="1417" w:right="1701" w:bottom="1417" w:left="1701" w:header="340" w:footer="1247" w:gutter="0"/>
          <w:cols w:space="708"/>
          <w:docGrid w:linePitch="360"/>
        </w:sectPr>
      </w:pPr>
    </w:p>
    <w:tbl>
      <w:tblPr>
        <w:tblW w:w="13173" w:type="dxa"/>
        <w:jc w:val="center"/>
        <w:tblLayout w:type="fixed"/>
        <w:tblCellMar>
          <w:left w:w="70" w:type="dxa"/>
          <w:right w:w="70" w:type="dxa"/>
        </w:tblCellMar>
        <w:tblLook w:val="04A0" w:firstRow="1" w:lastRow="0" w:firstColumn="1" w:lastColumn="0" w:noHBand="0" w:noVBand="1"/>
      </w:tblPr>
      <w:tblGrid>
        <w:gridCol w:w="1694"/>
        <w:gridCol w:w="3345"/>
        <w:gridCol w:w="1472"/>
        <w:gridCol w:w="1134"/>
        <w:gridCol w:w="1701"/>
        <w:gridCol w:w="1701"/>
        <w:gridCol w:w="2126"/>
      </w:tblGrid>
      <w:tr w:rsidR="00420C5F" w:rsidRPr="00747C83" w14:paraId="763F256D" w14:textId="77777777" w:rsidTr="00A70CFA">
        <w:trPr>
          <w:trHeight w:val="350"/>
          <w:jc w:val="center"/>
        </w:trPr>
        <w:tc>
          <w:tcPr>
            <w:tcW w:w="13173" w:type="dxa"/>
            <w:gridSpan w:val="7"/>
            <w:tcBorders>
              <w:top w:val="single" w:sz="8" w:space="0" w:color="000000"/>
              <w:left w:val="single" w:sz="8" w:space="0" w:color="000000"/>
              <w:bottom w:val="single" w:sz="4" w:space="0" w:color="000000"/>
              <w:right w:val="single" w:sz="8" w:space="0" w:color="000000"/>
            </w:tcBorders>
            <w:shd w:val="clear" w:color="000000" w:fill="DEA900"/>
            <w:noWrap/>
            <w:vAlign w:val="center"/>
            <w:hideMark/>
          </w:tcPr>
          <w:p w14:paraId="498B0B59" w14:textId="0C38F159" w:rsidR="00420C5F" w:rsidRPr="003C108C" w:rsidRDefault="00557529" w:rsidP="00B03275">
            <w:pPr>
              <w:spacing w:after="0" w:line="240" w:lineRule="auto"/>
              <w:ind w:right="-568" w:firstLine="851"/>
              <w:jc w:val="center"/>
              <w:rPr>
                <w:rFonts w:asciiTheme="minorHAnsi" w:eastAsia="Times New Roman" w:hAnsiTheme="minorHAnsi" w:cstheme="minorHAnsi"/>
                <w:b/>
                <w:bCs/>
                <w:color w:val="000000"/>
                <w:sz w:val="18"/>
                <w:szCs w:val="18"/>
                <w:lang w:eastAsia="pt-BR"/>
              </w:rPr>
            </w:pPr>
            <w:r w:rsidRPr="003C108C">
              <w:rPr>
                <w:rFonts w:asciiTheme="minorHAnsi" w:eastAsia="Times New Roman" w:hAnsiTheme="minorHAnsi" w:cstheme="minorHAnsi"/>
                <w:b/>
                <w:bCs/>
                <w:color w:val="000000"/>
                <w:sz w:val="18"/>
                <w:szCs w:val="18"/>
                <w:lang w:eastAsia="pt-BR"/>
              </w:rPr>
              <w:lastRenderedPageBreak/>
              <w:t>ALOCAÇÃO ESTRATÉGICA PARA O EXERCÍ</w:t>
            </w:r>
            <w:r w:rsidR="00E33631" w:rsidRPr="003C108C">
              <w:rPr>
                <w:rFonts w:asciiTheme="minorHAnsi" w:eastAsia="Times New Roman" w:hAnsiTheme="minorHAnsi" w:cstheme="minorHAnsi"/>
                <w:b/>
                <w:bCs/>
                <w:color w:val="000000"/>
                <w:sz w:val="18"/>
                <w:szCs w:val="18"/>
                <w:lang w:eastAsia="pt-BR"/>
              </w:rPr>
              <w:t>CIO DE 202</w:t>
            </w:r>
            <w:r w:rsidR="002C10DB" w:rsidRPr="003C108C">
              <w:rPr>
                <w:rFonts w:asciiTheme="minorHAnsi" w:eastAsia="Times New Roman" w:hAnsiTheme="minorHAnsi" w:cstheme="minorHAnsi"/>
                <w:b/>
                <w:bCs/>
                <w:color w:val="000000"/>
                <w:sz w:val="18"/>
                <w:szCs w:val="18"/>
                <w:lang w:eastAsia="pt-BR"/>
              </w:rPr>
              <w:t>4</w:t>
            </w:r>
          </w:p>
        </w:tc>
      </w:tr>
      <w:tr w:rsidR="00420C5F" w:rsidRPr="00747C83" w14:paraId="53BA0785" w14:textId="77777777" w:rsidTr="005D38D0">
        <w:trPr>
          <w:trHeight w:val="350"/>
          <w:jc w:val="center"/>
        </w:trPr>
        <w:tc>
          <w:tcPr>
            <w:tcW w:w="1694" w:type="dxa"/>
            <w:vMerge w:val="restart"/>
            <w:tcBorders>
              <w:top w:val="nil"/>
              <w:left w:val="single" w:sz="8" w:space="0" w:color="000000"/>
              <w:bottom w:val="single" w:sz="4" w:space="0" w:color="000000"/>
              <w:right w:val="single" w:sz="4" w:space="0" w:color="000000"/>
            </w:tcBorders>
            <w:shd w:val="clear" w:color="000000" w:fill="195689"/>
            <w:noWrap/>
            <w:vAlign w:val="center"/>
            <w:hideMark/>
          </w:tcPr>
          <w:p w14:paraId="6F8BCD77" w14:textId="77777777" w:rsidR="00420C5F" w:rsidRPr="003C108C" w:rsidRDefault="00420C5F" w:rsidP="0023051F">
            <w:pPr>
              <w:spacing w:after="0" w:line="240" w:lineRule="auto"/>
              <w:ind w:right="-568" w:hanging="792"/>
              <w:jc w:val="center"/>
              <w:rPr>
                <w:rFonts w:asciiTheme="minorHAnsi" w:eastAsia="Times New Roman" w:hAnsiTheme="minorHAnsi" w:cstheme="minorHAnsi"/>
                <w:b/>
                <w:bCs/>
                <w:color w:val="FFFFFF"/>
                <w:sz w:val="18"/>
                <w:szCs w:val="18"/>
                <w:lang w:eastAsia="pt-BR"/>
              </w:rPr>
            </w:pPr>
            <w:r w:rsidRPr="003C108C">
              <w:rPr>
                <w:rFonts w:asciiTheme="minorHAnsi" w:eastAsia="Times New Roman" w:hAnsiTheme="minorHAnsi" w:cstheme="minorHAnsi"/>
                <w:b/>
                <w:bCs/>
                <w:color w:val="FFFFFF"/>
                <w:sz w:val="18"/>
                <w:szCs w:val="18"/>
                <w:lang w:eastAsia="pt-BR"/>
              </w:rPr>
              <w:t>SEGMENTO</w:t>
            </w:r>
          </w:p>
        </w:tc>
        <w:tc>
          <w:tcPr>
            <w:tcW w:w="4817" w:type="dxa"/>
            <w:gridSpan w:val="2"/>
            <w:vMerge w:val="restart"/>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14:paraId="61564CA2" w14:textId="77777777" w:rsidR="00420C5F" w:rsidRPr="003C108C" w:rsidRDefault="00420C5F" w:rsidP="0023051F">
            <w:pPr>
              <w:spacing w:after="0" w:line="240" w:lineRule="auto"/>
              <w:ind w:right="-568" w:hanging="792"/>
              <w:jc w:val="center"/>
              <w:rPr>
                <w:rFonts w:asciiTheme="minorHAnsi" w:eastAsia="Times New Roman" w:hAnsiTheme="minorHAnsi" w:cstheme="minorHAnsi"/>
                <w:b/>
                <w:bCs/>
                <w:sz w:val="18"/>
                <w:szCs w:val="18"/>
                <w:lang w:eastAsia="pt-BR"/>
              </w:rPr>
            </w:pPr>
            <w:r w:rsidRPr="003C108C">
              <w:rPr>
                <w:rFonts w:asciiTheme="minorHAnsi" w:eastAsia="Times New Roman" w:hAnsiTheme="minorHAnsi" w:cstheme="minorHAnsi"/>
                <w:b/>
                <w:bCs/>
                <w:sz w:val="18"/>
                <w:szCs w:val="18"/>
                <w:lang w:eastAsia="pt-BR"/>
              </w:rPr>
              <w:t>ATIVO</w:t>
            </w:r>
          </w:p>
        </w:tc>
        <w:tc>
          <w:tcPr>
            <w:tcW w:w="6662" w:type="dxa"/>
            <w:gridSpan w:val="4"/>
            <w:tcBorders>
              <w:top w:val="single" w:sz="4" w:space="0" w:color="000000"/>
              <w:left w:val="nil"/>
              <w:bottom w:val="single" w:sz="4" w:space="0" w:color="000000"/>
              <w:right w:val="single" w:sz="8" w:space="0" w:color="000000"/>
            </w:tcBorders>
            <w:shd w:val="clear" w:color="000000" w:fill="D9D9D9"/>
            <w:vAlign w:val="center"/>
            <w:hideMark/>
          </w:tcPr>
          <w:p w14:paraId="46C6CD2D" w14:textId="77777777" w:rsidR="00420C5F" w:rsidRPr="003C108C" w:rsidRDefault="00420C5F" w:rsidP="0023051F">
            <w:pPr>
              <w:spacing w:after="0" w:line="240" w:lineRule="auto"/>
              <w:ind w:right="-568" w:hanging="792"/>
              <w:jc w:val="center"/>
              <w:rPr>
                <w:rFonts w:asciiTheme="minorHAnsi" w:eastAsia="Times New Roman" w:hAnsiTheme="minorHAnsi" w:cstheme="minorHAnsi"/>
                <w:b/>
                <w:bCs/>
                <w:sz w:val="18"/>
                <w:szCs w:val="18"/>
                <w:lang w:eastAsia="pt-BR"/>
              </w:rPr>
            </w:pPr>
            <w:r w:rsidRPr="003C108C">
              <w:rPr>
                <w:rFonts w:asciiTheme="minorHAnsi" w:eastAsia="Times New Roman" w:hAnsiTheme="minorHAnsi" w:cstheme="minorHAnsi"/>
                <w:b/>
                <w:bCs/>
                <w:sz w:val="18"/>
                <w:szCs w:val="18"/>
                <w:lang w:eastAsia="pt-BR"/>
              </w:rPr>
              <w:t>Alocação dos Recursos</w:t>
            </w:r>
          </w:p>
        </w:tc>
      </w:tr>
      <w:tr w:rsidR="00A70CFA" w:rsidRPr="00747C83" w14:paraId="497B2FC9" w14:textId="77777777" w:rsidTr="00FB2503">
        <w:trPr>
          <w:trHeight w:val="579"/>
          <w:jc w:val="center"/>
        </w:trPr>
        <w:tc>
          <w:tcPr>
            <w:tcW w:w="1694" w:type="dxa"/>
            <w:vMerge/>
            <w:tcBorders>
              <w:top w:val="nil"/>
              <w:left w:val="single" w:sz="8" w:space="0" w:color="000000"/>
              <w:bottom w:val="single" w:sz="4" w:space="0" w:color="000000"/>
              <w:right w:val="single" w:sz="4" w:space="0" w:color="000000"/>
            </w:tcBorders>
            <w:vAlign w:val="center"/>
            <w:hideMark/>
          </w:tcPr>
          <w:p w14:paraId="22BF60CB" w14:textId="77777777" w:rsidR="00A70CFA" w:rsidRPr="003C108C" w:rsidRDefault="00A70CFA" w:rsidP="0023051F">
            <w:pPr>
              <w:spacing w:after="0" w:line="240" w:lineRule="auto"/>
              <w:ind w:right="-568" w:hanging="792"/>
              <w:rPr>
                <w:rFonts w:asciiTheme="minorHAnsi" w:eastAsia="Times New Roman" w:hAnsiTheme="minorHAnsi" w:cstheme="minorHAnsi"/>
                <w:b/>
                <w:bCs/>
                <w:color w:val="FFFFFF"/>
                <w:sz w:val="18"/>
                <w:szCs w:val="18"/>
                <w:lang w:eastAsia="pt-BR"/>
              </w:rPr>
            </w:pPr>
          </w:p>
        </w:tc>
        <w:tc>
          <w:tcPr>
            <w:tcW w:w="4817" w:type="dxa"/>
            <w:gridSpan w:val="2"/>
            <w:vMerge/>
            <w:tcBorders>
              <w:top w:val="single" w:sz="4" w:space="0" w:color="000000"/>
              <w:left w:val="single" w:sz="4" w:space="0" w:color="000000"/>
              <w:bottom w:val="single" w:sz="4" w:space="0" w:color="000000"/>
              <w:right w:val="single" w:sz="4" w:space="0" w:color="000000"/>
            </w:tcBorders>
            <w:vAlign w:val="center"/>
            <w:hideMark/>
          </w:tcPr>
          <w:p w14:paraId="22F11FAB" w14:textId="77777777" w:rsidR="00A70CFA" w:rsidRPr="003C108C" w:rsidRDefault="00A70CFA" w:rsidP="0023051F">
            <w:pPr>
              <w:spacing w:after="0" w:line="240" w:lineRule="auto"/>
              <w:ind w:right="-568" w:hanging="792"/>
              <w:rPr>
                <w:rFonts w:asciiTheme="minorHAnsi" w:eastAsia="Times New Roman" w:hAnsiTheme="minorHAnsi" w:cstheme="minorHAnsi"/>
                <w:b/>
                <w:bCs/>
                <w:sz w:val="18"/>
                <w:szCs w:val="18"/>
                <w:lang w:eastAsia="pt-BR"/>
              </w:rPr>
            </w:pPr>
          </w:p>
        </w:tc>
        <w:tc>
          <w:tcPr>
            <w:tcW w:w="113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4C2D93C" w14:textId="77777777" w:rsidR="007A331F" w:rsidRPr="003C108C" w:rsidRDefault="00A70CFA" w:rsidP="007A331F">
            <w:pPr>
              <w:spacing w:after="0" w:line="240" w:lineRule="auto"/>
              <w:ind w:right="-568" w:hanging="792"/>
              <w:jc w:val="center"/>
              <w:rPr>
                <w:rFonts w:asciiTheme="minorHAnsi" w:eastAsia="Times New Roman" w:hAnsiTheme="minorHAnsi" w:cstheme="minorHAnsi"/>
                <w:b/>
                <w:bCs/>
                <w:sz w:val="18"/>
                <w:szCs w:val="18"/>
                <w:lang w:eastAsia="pt-BR"/>
              </w:rPr>
            </w:pPr>
            <w:r w:rsidRPr="003C108C">
              <w:rPr>
                <w:rFonts w:asciiTheme="minorHAnsi" w:eastAsia="Times New Roman" w:hAnsiTheme="minorHAnsi" w:cstheme="minorHAnsi"/>
                <w:b/>
                <w:bCs/>
                <w:sz w:val="18"/>
                <w:szCs w:val="18"/>
                <w:lang w:eastAsia="pt-BR"/>
              </w:rPr>
              <w:t>Limite da</w:t>
            </w:r>
          </w:p>
          <w:p w14:paraId="1758A762" w14:textId="6DFAACC4" w:rsidR="00A70CFA" w:rsidRPr="003C108C" w:rsidRDefault="00A70CFA" w:rsidP="007A331F">
            <w:pPr>
              <w:spacing w:after="0" w:line="240" w:lineRule="auto"/>
              <w:ind w:right="-568" w:hanging="792"/>
              <w:jc w:val="center"/>
              <w:rPr>
                <w:rFonts w:asciiTheme="minorHAnsi" w:eastAsia="Times New Roman" w:hAnsiTheme="minorHAnsi" w:cstheme="minorHAnsi"/>
                <w:b/>
                <w:bCs/>
                <w:sz w:val="18"/>
                <w:szCs w:val="18"/>
                <w:lang w:eastAsia="pt-BR"/>
              </w:rPr>
            </w:pPr>
            <w:r w:rsidRPr="003C108C">
              <w:rPr>
                <w:rFonts w:asciiTheme="minorHAnsi" w:eastAsia="Times New Roman" w:hAnsiTheme="minorHAnsi" w:cstheme="minorHAnsi"/>
                <w:b/>
                <w:bCs/>
                <w:sz w:val="18"/>
                <w:szCs w:val="18"/>
                <w:lang w:eastAsia="pt-BR"/>
              </w:rPr>
              <w:t xml:space="preserve"> Resolução</w:t>
            </w:r>
          </w:p>
        </w:tc>
        <w:tc>
          <w:tcPr>
            <w:tcW w:w="1701"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F70E202" w14:textId="2F0D806D" w:rsidR="00A70CFA" w:rsidRPr="003C108C" w:rsidRDefault="00A70CFA" w:rsidP="007A331F">
            <w:pPr>
              <w:spacing w:after="0" w:line="240" w:lineRule="auto"/>
              <w:ind w:right="-568" w:hanging="792"/>
              <w:jc w:val="center"/>
              <w:rPr>
                <w:rFonts w:asciiTheme="minorHAnsi" w:eastAsia="Times New Roman" w:hAnsiTheme="minorHAnsi" w:cstheme="minorHAnsi"/>
                <w:b/>
                <w:bCs/>
                <w:sz w:val="18"/>
                <w:szCs w:val="18"/>
                <w:lang w:eastAsia="pt-BR"/>
              </w:rPr>
            </w:pPr>
            <w:r w:rsidRPr="003C108C">
              <w:rPr>
                <w:rFonts w:asciiTheme="minorHAnsi" w:eastAsia="Times New Roman" w:hAnsiTheme="minorHAnsi" w:cstheme="minorHAnsi"/>
                <w:b/>
                <w:bCs/>
                <w:sz w:val="18"/>
                <w:szCs w:val="18"/>
                <w:lang w:eastAsia="pt-BR"/>
              </w:rPr>
              <w:t>Limite Inferior%</w:t>
            </w:r>
          </w:p>
        </w:tc>
        <w:tc>
          <w:tcPr>
            <w:tcW w:w="1701"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89B4344" w14:textId="77777777" w:rsidR="00A70CFA" w:rsidRPr="003C108C" w:rsidRDefault="00A70CFA" w:rsidP="00FB2503">
            <w:pPr>
              <w:spacing w:after="0" w:line="240" w:lineRule="auto"/>
              <w:ind w:left="209" w:right="-568" w:hanging="792"/>
              <w:jc w:val="center"/>
              <w:rPr>
                <w:rFonts w:asciiTheme="minorHAnsi" w:eastAsia="Times New Roman" w:hAnsiTheme="minorHAnsi" w:cstheme="minorHAnsi"/>
                <w:b/>
                <w:bCs/>
                <w:sz w:val="18"/>
                <w:szCs w:val="18"/>
                <w:lang w:eastAsia="pt-BR"/>
              </w:rPr>
            </w:pPr>
            <w:r w:rsidRPr="003C108C">
              <w:rPr>
                <w:rFonts w:asciiTheme="minorHAnsi" w:eastAsia="Times New Roman" w:hAnsiTheme="minorHAnsi" w:cstheme="minorHAnsi"/>
                <w:b/>
                <w:bCs/>
                <w:sz w:val="18"/>
                <w:szCs w:val="18"/>
                <w:lang w:eastAsia="pt-BR"/>
              </w:rPr>
              <w:t>Estratégica Ativo %</w:t>
            </w:r>
          </w:p>
        </w:tc>
        <w:tc>
          <w:tcPr>
            <w:tcW w:w="2126" w:type="dxa"/>
            <w:vMerge w:val="restart"/>
            <w:tcBorders>
              <w:top w:val="nil"/>
              <w:left w:val="single" w:sz="4" w:space="0" w:color="000000"/>
              <w:bottom w:val="single" w:sz="4" w:space="0" w:color="000000"/>
              <w:right w:val="single" w:sz="8" w:space="0" w:color="000000"/>
            </w:tcBorders>
            <w:shd w:val="clear" w:color="000000" w:fill="D9D9D9"/>
            <w:vAlign w:val="center"/>
            <w:hideMark/>
          </w:tcPr>
          <w:p w14:paraId="177047B2" w14:textId="77777777" w:rsidR="00A70CFA" w:rsidRPr="003C108C" w:rsidRDefault="00A70CFA" w:rsidP="007A331F">
            <w:pPr>
              <w:spacing w:after="0" w:line="240" w:lineRule="auto"/>
              <w:ind w:right="-568" w:hanging="792"/>
              <w:jc w:val="center"/>
              <w:rPr>
                <w:rFonts w:asciiTheme="minorHAnsi" w:eastAsia="Times New Roman" w:hAnsiTheme="minorHAnsi" w:cstheme="minorHAnsi"/>
                <w:b/>
                <w:bCs/>
                <w:sz w:val="18"/>
                <w:szCs w:val="18"/>
                <w:lang w:eastAsia="pt-BR"/>
              </w:rPr>
            </w:pPr>
            <w:r w:rsidRPr="003C108C">
              <w:rPr>
                <w:rFonts w:asciiTheme="minorHAnsi" w:eastAsia="Times New Roman" w:hAnsiTheme="minorHAnsi" w:cstheme="minorHAnsi"/>
                <w:b/>
                <w:bCs/>
                <w:sz w:val="18"/>
                <w:szCs w:val="18"/>
                <w:lang w:eastAsia="pt-BR"/>
              </w:rPr>
              <w:t>Limite Superior %</w:t>
            </w:r>
          </w:p>
        </w:tc>
      </w:tr>
      <w:tr w:rsidR="00A70CFA" w:rsidRPr="00747C83" w14:paraId="19A74ABB" w14:textId="77777777" w:rsidTr="00FB2503">
        <w:trPr>
          <w:trHeight w:val="269"/>
          <w:jc w:val="center"/>
        </w:trPr>
        <w:tc>
          <w:tcPr>
            <w:tcW w:w="1694" w:type="dxa"/>
            <w:vMerge/>
            <w:tcBorders>
              <w:top w:val="nil"/>
              <w:left w:val="single" w:sz="8" w:space="0" w:color="000000"/>
              <w:bottom w:val="single" w:sz="4" w:space="0" w:color="000000"/>
              <w:right w:val="single" w:sz="4" w:space="0" w:color="000000"/>
            </w:tcBorders>
            <w:vAlign w:val="center"/>
            <w:hideMark/>
          </w:tcPr>
          <w:p w14:paraId="15E50DBC" w14:textId="77777777" w:rsidR="00A70CFA" w:rsidRPr="003C108C" w:rsidRDefault="00A70CFA" w:rsidP="0023051F">
            <w:pPr>
              <w:spacing w:after="0" w:line="240" w:lineRule="auto"/>
              <w:ind w:right="-568" w:hanging="792"/>
              <w:rPr>
                <w:rFonts w:asciiTheme="minorHAnsi" w:eastAsia="Times New Roman" w:hAnsiTheme="minorHAnsi" w:cstheme="minorHAnsi"/>
                <w:b/>
                <w:bCs/>
                <w:color w:val="FFFFFF"/>
                <w:sz w:val="18"/>
                <w:szCs w:val="18"/>
                <w:lang w:eastAsia="pt-BR"/>
              </w:rPr>
            </w:pPr>
          </w:p>
        </w:tc>
        <w:tc>
          <w:tcPr>
            <w:tcW w:w="4817" w:type="dxa"/>
            <w:gridSpan w:val="2"/>
            <w:vMerge/>
            <w:tcBorders>
              <w:top w:val="single" w:sz="4" w:space="0" w:color="000000"/>
              <w:left w:val="single" w:sz="4" w:space="0" w:color="000000"/>
              <w:bottom w:val="single" w:sz="4" w:space="0" w:color="000000"/>
              <w:right w:val="single" w:sz="4" w:space="0" w:color="000000"/>
            </w:tcBorders>
            <w:vAlign w:val="center"/>
            <w:hideMark/>
          </w:tcPr>
          <w:p w14:paraId="0F4CA55D" w14:textId="77777777" w:rsidR="00A70CFA" w:rsidRPr="003C108C" w:rsidRDefault="00A70CFA" w:rsidP="0023051F">
            <w:pPr>
              <w:spacing w:after="0" w:line="240" w:lineRule="auto"/>
              <w:ind w:right="-568" w:hanging="792"/>
              <w:rPr>
                <w:rFonts w:asciiTheme="minorHAnsi" w:eastAsia="Times New Roman" w:hAnsiTheme="minorHAnsi" w:cstheme="minorHAnsi"/>
                <w:b/>
                <w:bCs/>
                <w:sz w:val="18"/>
                <w:szCs w:val="18"/>
                <w:lang w:eastAsia="pt-BR"/>
              </w:rPr>
            </w:pPr>
          </w:p>
        </w:tc>
        <w:tc>
          <w:tcPr>
            <w:tcW w:w="1134" w:type="dxa"/>
            <w:vMerge/>
            <w:tcBorders>
              <w:top w:val="nil"/>
              <w:left w:val="single" w:sz="4" w:space="0" w:color="000000"/>
              <w:bottom w:val="single" w:sz="4" w:space="0" w:color="000000"/>
              <w:right w:val="single" w:sz="4" w:space="0" w:color="000000"/>
            </w:tcBorders>
            <w:vAlign w:val="center"/>
            <w:hideMark/>
          </w:tcPr>
          <w:p w14:paraId="0A709FE1" w14:textId="77777777" w:rsidR="00A70CFA" w:rsidRPr="003C108C" w:rsidRDefault="00A70CFA" w:rsidP="0023051F">
            <w:pPr>
              <w:spacing w:after="0" w:line="240" w:lineRule="auto"/>
              <w:ind w:right="-568" w:hanging="792"/>
              <w:rPr>
                <w:rFonts w:asciiTheme="minorHAnsi" w:eastAsia="Times New Roman" w:hAnsiTheme="minorHAnsi" w:cstheme="minorHAnsi"/>
                <w:b/>
                <w:bCs/>
                <w:sz w:val="18"/>
                <w:szCs w:val="18"/>
                <w:lang w:eastAsia="pt-BR"/>
              </w:rPr>
            </w:pPr>
          </w:p>
        </w:tc>
        <w:tc>
          <w:tcPr>
            <w:tcW w:w="1701" w:type="dxa"/>
            <w:vMerge/>
            <w:tcBorders>
              <w:top w:val="nil"/>
              <w:left w:val="single" w:sz="4" w:space="0" w:color="000000"/>
              <w:bottom w:val="single" w:sz="4" w:space="0" w:color="000000"/>
              <w:right w:val="single" w:sz="4" w:space="0" w:color="000000"/>
            </w:tcBorders>
            <w:vAlign w:val="center"/>
            <w:hideMark/>
          </w:tcPr>
          <w:p w14:paraId="54A20856" w14:textId="77777777" w:rsidR="00A70CFA" w:rsidRPr="003C108C" w:rsidRDefault="00A70CFA" w:rsidP="0023051F">
            <w:pPr>
              <w:spacing w:after="0" w:line="240" w:lineRule="auto"/>
              <w:ind w:right="-568" w:hanging="792"/>
              <w:rPr>
                <w:rFonts w:asciiTheme="minorHAnsi" w:eastAsia="Times New Roman" w:hAnsiTheme="minorHAnsi" w:cstheme="minorHAnsi"/>
                <w:b/>
                <w:bCs/>
                <w:sz w:val="18"/>
                <w:szCs w:val="18"/>
                <w:lang w:eastAsia="pt-BR"/>
              </w:rPr>
            </w:pPr>
          </w:p>
        </w:tc>
        <w:tc>
          <w:tcPr>
            <w:tcW w:w="1701" w:type="dxa"/>
            <w:vMerge/>
            <w:tcBorders>
              <w:top w:val="nil"/>
              <w:left w:val="single" w:sz="4" w:space="0" w:color="000000"/>
              <w:bottom w:val="single" w:sz="4" w:space="0" w:color="000000"/>
              <w:right w:val="single" w:sz="4" w:space="0" w:color="000000"/>
            </w:tcBorders>
            <w:vAlign w:val="center"/>
            <w:hideMark/>
          </w:tcPr>
          <w:p w14:paraId="6726B497" w14:textId="77777777" w:rsidR="00A70CFA" w:rsidRPr="003C108C" w:rsidRDefault="00A70CFA" w:rsidP="0023051F">
            <w:pPr>
              <w:spacing w:after="0" w:line="240" w:lineRule="auto"/>
              <w:ind w:right="-568" w:hanging="792"/>
              <w:rPr>
                <w:rFonts w:asciiTheme="minorHAnsi" w:eastAsia="Times New Roman" w:hAnsiTheme="minorHAnsi" w:cstheme="minorHAnsi"/>
                <w:b/>
                <w:bCs/>
                <w:sz w:val="18"/>
                <w:szCs w:val="18"/>
                <w:lang w:eastAsia="pt-BR"/>
              </w:rPr>
            </w:pPr>
          </w:p>
        </w:tc>
        <w:tc>
          <w:tcPr>
            <w:tcW w:w="2126" w:type="dxa"/>
            <w:vMerge/>
            <w:tcBorders>
              <w:top w:val="nil"/>
              <w:left w:val="single" w:sz="4" w:space="0" w:color="000000"/>
              <w:bottom w:val="single" w:sz="4" w:space="0" w:color="000000"/>
              <w:right w:val="single" w:sz="8" w:space="0" w:color="000000"/>
            </w:tcBorders>
            <w:vAlign w:val="center"/>
            <w:hideMark/>
          </w:tcPr>
          <w:p w14:paraId="52EAED88" w14:textId="77777777" w:rsidR="00A70CFA" w:rsidRPr="003C108C" w:rsidRDefault="00A70CFA" w:rsidP="0023051F">
            <w:pPr>
              <w:spacing w:after="0" w:line="240" w:lineRule="auto"/>
              <w:ind w:right="-568" w:hanging="792"/>
              <w:rPr>
                <w:rFonts w:asciiTheme="minorHAnsi" w:eastAsia="Times New Roman" w:hAnsiTheme="minorHAnsi" w:cstheme="minorHAnsi"/>
                <w:b/>
                <w:bCs/>
                <w:sz w:val="18"/>
                <w:szCs w:val="18"/>
                <w:lang w:eastAsia="pt-BR"/>
              </w:rPr>
            </w:pPr>
          </w:p>
        </w:tc>
      </w:tr>
      <w:tr w:rsidR="00191D48" w:rsidRPr="00747C83" w14:paraId="532B7DE5" w14:textId="77777777" w:rsidTr="005D0B55">
        <w:trPr>
          <w:trHeight w:val="300"/>
          <w:jc w:val="center"/>
        </w:trPr>
        <w:tc>
          <w:tcPr>
            <w:tcW w:w="1694" w:type="dxa"/>
            <w:vMerge w:val="restart"/>
            <w:tcBorders>
              <w:top w:val="single" w:sz="8" w:space="0" w:color="000000"/>
              <w:left w:val="single" w:sz="8" w:space="0" w:color="000000"/>
              <w:bottom w:val="single" w:sz="4" w:space="0" w:color="000000"/>
              <w:right w:val="single" w:sz="4" w:space="0" w:color="000000"/>
            </w:tcBorders>
            <w:shd w:val="clear" w:color="000000" w:fill="195689"/>
            <w:noWrap/>
            <w:vAlign w:val="center"/>
            <w:hideMark/>
          </w:tcPr>
          <w:p w14:paraId="41EAB6FC" w14:textId="77777777" w:rsidR="00191D48" w:rsidRPr="003C108C" w:rsidRDefault="00191D48" w:rsidP="00191D48">
            <w:pPr>
              <w:spacing w:after="0" w:line="240" w:lineRule="auto"/>
              <w:ind w:right="-568" w:hanging="792"/>
              <w:jc w:val="center"/>
              <w:rPr>
                <w:rFonts w:asciiTheme="minorHAnsi" w:eastAsia="Times New Roman" w:hAnsiTheme="minorHAnsi" w:cstheme="minorHAnsi"/>
                <w:b/>
                <w:bCs/>
                <w:color w:val="FFFFFF"/>
                <w:sz w:val="18"/>
                <w:szCs w:val="18"/>
                <w:lang w:eastAsia="pt-BR"/>
              </w:rPr>
            </w:pPr>
            <w:r w:rsidRPr="003C108C">
              <w:rPr>
                <w:rFonts w:asciiTheme="minorHAnsi" w:eastAsia="Times New Roman" w:hAnsiTheme="minorHAnsi" w:cstheme="minorHAnsi"/>
                <w:b/>
                <w:bCs/>
                <w:color w:val="FFFFFF"/>
                <w:sz w:val="18"/>
                <w:szCs w:val="18"/>
                <w:lang w:eastAsia="pt-BR"/>
              </w:rPr>
              <w:t>RENDA FIXA</w:t>
            </w:r>
          </w:p>
        </w:tc>
        <w:tc>
          <w:tcPr>
            <w:tcW w:w="3345" w:type="dxa"/>
            <w:tcBorders>
              <w:top w:val="single" w:sz="8" w:space="0" w:color="000000"/>
              <w:left w:val="nil"/>
              <w:bottom w:val="single" w:sz="4" w:space="0" w:color="000000"/>
              <w:right w:val="single" w:sz="4" w:space="0" w:color="000000"/>
            </w:tcBorders>
            <w:shd w:val="clear" w:color="auto" w:fill="auto"/>
            <w:vAlign w:val="center"/>
            <w:hideMark/>
          </w:tcPr>
          <w:p w14:paraId="647AAD39" w14:textId="79570E59"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Títulos TN SELIC</w:t>
            </w:r>
          </w:p>
        </w:tc>
        <w:tc>
          <w:tcPr>
            <w:tcW w:w="1472" w:type="dxa"/>
            <w:tcBorders>
              <w:top w:val="single" w:sz="8" w:space="0" w:color="000000"/>
              <w:left w:val="nil"/>
              <w:bottom w:val="single" w:sz="4" w:space="0" w:color="000000"/>
              <w:right w:val="single" w:sz="4" w:space="0" w:color="000000"/>
            </w:tcBorders>
            <w:shd w:val="clear" w:color="auto" w:fill="auto"/>
            <w:vAlign w:val="center"/>
            <w:hideMark/>
          </w:tcPr>
          <w:p w14:paraId="51544F14"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Art.7°, I, "a"</w:t>
            </w:r>
          </w:p>
        </w:tc>
        <w:tc>
          <w:tcPr>
            <w:tcW w:w="1134" w:type="dxa"/>
            <w:tcBorders>
              <w:top w:val="single" w:sz="8" w:space="0" w:color="000000"/>
              <w:left w:val="nil"/>
              <w:bottom w:val="single" w:sz="4" w:space="0" w:color="000000"/>
              <w:right w:val="single" w:sz="4" w:space="0" w:color="000000"/>
            </w:tcBorders>
            <w:shd w:val="clear" w:color="auto" w:fill="auto"/>
            <w:vAlign w:val="center"/>
            <w:hideMark/>
          </w:tcPr>
          <w:p w14:paraId="2A6A9745" w14:textId="5A056745"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100,00%</w:t>
            </w:r>
          </w:p>
        </w:tc>
        <w:tc>
          <w:tcPr>
            <w:tcW w:w="1701" w:type="dxa"/>
            <w:tcBorders>
              <w:top w:val="single" w:sz="8" w:space="0" w:color="000000"/>
              <w:left w:val="nil"/>
              <w:bottom w:val="single" w:sz="4" w:space="0" w:color="000000"/>
              <w:right w:val="single" w:sz="4" w:space="0" w:color="000000"/>
            </w:tcBorders>
            <w:shd w:val="clear" w:color="auto" w:fill="auto"/>
            <w:hideMark/>
          </w:tcPr>
          <w:p w14:paraId="1162BE58" w14:textId="2D528820"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single" w:sz="8" w:space="0" w:color="000000"/>
              <w:left w:val="nil"/>
              <w:bottom w:val="single" w:sz="4" w:space="0" w:color="000000"/>
              <w:right w:val="single" w:sz="4" w:space="0" w:color="000000"/>
            </w:tcBorders>
            <w:shd w:val="clear" w:color="auto" w:fill="auto"/>
            <w:hideMark/>
          </w:tcPr>
          <w:p w14:paraId="142CE7B9" w14:textId="17EE4D46"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0,00%</w:t>
            </w:r>
          </w:p>
        </w:tc>
        <w:tc>
          <w:tcPr>
            <w:tcW w:w="2126" w:type="dxa"/>
            <w:tcBorders>
              <w:top w:val="single" w:sz="8" w:space="0" w:color="000000"/>
              <w:left w:val="nil"/>
              <w:bottom w:val="single" w:sz="4" w:space="0" w:color="000000"/>
              <w:right w:val="single" w:sz="8" w:space="0" w:color="000000"/>
            </w:tcBorders>
            <w:shd w:val="clear" w:color="auto" w:fill="auto"/>
            <w:hideMark/>
          </w:tcPr>
          <w:p w14:paraId="19C26F10" w14:textId="3B6FFD8D"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r>
      <w:tr w:rsidR="00191D48" w:rsidRPr="00747C83" w14:paraId="5F55675F" w14:textId="77777777" w:rsidTr="005D0B55">
        <w:trPr>
          <w:trHeight w:val="300"/>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4689A62A"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29B86948" w14:textId="3FEA11A6"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FI 100% Títulos TN</w:t>
            </w:r>
          </w:p>
        </w:tc>
        <w:tc>
          <w:tcPr>
            <w:tcW w:w="1472" w:type="dxa"/>
            <w:tcBorders>
              <w:top w:val="nil"/>
              <w:left w:val="nil"/>
              <w:bottom w:val="single" w:sz="4" w:space="0" w:color="000000"/>
              <w:right w:val="single" w:sz="4" w:space="0" w:color="000000"/>
            </w:tcBorders>
            <w:shd w:val="clear" w:color="auto" w:fill="auto"/>
            <w:vAlign w:val="center"/>
            <w:hideMark/>
          </w:tcPr>
          <w:p w14:paraId="22ABC8B3"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7°, I, "b"</w:t>
            </w:r>
          </w:p>
        </w:tc>
        <w:tc>
          <w:tcPr>
            <w:tcW w:w="1134" w:type="dxa"/>
            <w:tcBorders>
              <w:top w:val="nil"/>
              <w:left w:val="nil"/>
              <w:bottom w:val="single" w:sz="4" w:space="0" w:color="000000"/>
              <w:right w:val="single" w:sz="4" w:space="0" w:color="000000"/>
            </w:tcBorders>
            <w:shd w:val="clear" w:color="auto" w:fill="auto"/>
            <w:vAlign w:val="center"/>
            <w:hideMark/>
          </w:tcPr>
          <w:p w14:paraId="333F30D4" w14:textId="0AD26C8A"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100,00%</w:t>
            </w:r>
          </w:p>
        </w:tc>
        <w:tc>
          <w:tcPr>
            <w:tcW w:w="1701" w:type="dxa"/>
            <w:tcBorders>
              <w:top w:val="nil"/>
              <w:left w:val="nil"/>
              <w:bottom w:val="single" w:sz="4" w:space="0" w:color="000000"/>
              <w:right w:val="single" w:sz="4" w:space="0" w:color="000000"/>
            </w:tcBorders>
            <w:shd w:val="clear" w:color="auto" w:fill="auto"/>
            <w:hideMark/>
          </w:tcPr>
          <w:p w14:paraId="794EA267" w14:textId="08D33B95"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58B94174" w14:textId="36910222" w:rsidR="00191D48" w:rsidRPr="003C108C" w:rsidRDefault="00B51E1E"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70</w:t>
            </w:r>
            <w:r w:rsidR="00191D48" w:rsidRPr="003C108C">
              <w:rPr>
                <w:sz w:val="18"/>
                <w:szCs w:val="18"/>
              </w:rPr>
              <w:t>,</w:t>
            </w:r>
            <w:r w:rsidRPr="003C108C">
              <w:rPr>
                <w:sz w:val="18"/>
                <w:szCs w:val="18"/>
              </w:rPr>
              <w:t>00</w:t>
            </w:r>
            <w:r w:rsidR="00191D48" w:rsidRPr="003C108C">
              <w:rPr>
                <w:sz w:val="18"/>
                <w:szCs w:val="18"/>
              </w:rPr>
              <w:t>%</w:t>
            </w:r>
          </w:p>
        </w:tc>
        <w:tc>
          <w:tcPr>
            <w:tcW w:w="2126" w:type="dxa"/>
            <w:tcBorders>
              <w:top w:val="nil"/>
              <w:left w:val="nil"/>
              <w:bottom w:val="single" w:sz="4" w:space="0" w:color="000000"/>
              <w:right w:val="single" w:sz="8" w:space="0" w:color="000000"/>
            </w:tcBorders>
            <w:shd w:val="clear" w:color="auto" w:fill="auto"/>
            <w:hideMark/>
          </w:tcPr>
          <w:p w14:paraId="5610D8AE" w14:textId="0C0DA6C5" w:rsidR="00191D48" w:rsidRPr="003C108C" w:rsidRDefault="00B51E1E"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10</w:t>
            </w:r>
            <w:r w:rsidR="00191D48" w:rsidRPr="003C108C">
              <w:rPr>
                <w:rFonts w:asciiTheme="minorHAnsi" w:eastAsia="Times New Roman" w:hAnsiTheme="minorHAnsi" w:cstheme="minorHAnsi"/>
                <w:color w:val="000000"/>
                <w:sz w:val="18"/>
                <w:szCs w:val="18"/>
                <w:lang w:eastAsia="pt-BR"/>
              </w:rPr>
              <w:t>0,00%</w:t>
            </w:r>
          </w:p>
        </w:tc>
      </w:tr>
      <w:tr w:rsidR="00191D48" w:rsidRPr="00747C83" w14:paraId="1625B2BB" w14:textId="77777777" w:rsidTr="00850DA7">
        <w:trPr>
          <w:trHeight w:val="369"/>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6A6B9162"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3BB54FB1" w14:textId="4D516897" w:rsidR="00191D48" w:rsidRPr="003C108C" w:rsidRDefault="00191D48" w:rsidP="00191D48">
            <w:pPr>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FI Ref em Índices de RF 100 TP</w:t>
            </w:r>
          </w:p>
        </w:tc>
        <w:tc>
          <w:tcPr>
            <w:tcW w:w="1472" w:type="dxa"/>
            <w:tcBorders>
              <w:top w:val="single" w:sz="8" w:space="0" w:color="000000"/>
              <w:left w:val="nil"/>
              <w:bottom w:val="single" w:sz="4" w:space="0" w:color="000000"/>
              <w:right w:val="single" w:sz="4" w:space="0" w:color="000000"/>
            </w:tcBorders>
            <w:shd w:val="clear" w:color="auto" w:fill="auto"/>
            <w:vAlign w:val="center"/>
            <w:hideMark/>
          </w:tcPr>
          <w:p w14:paraId="35BF1324"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Art.7°, I, "c"</w:t>
            </w:r>
          </w:p>
        </w:tc>
        <w:tc>
          <w:tcPr>
            <w:tcW w:w="1134" w:type="dxa"/>
            <w:tcBorders>
              <w:top w:val="nil"/>
              <w:left w:val="nil"/>
              <w:bottom w:val="single" w:sz="4" w:space="0" w:color="000000"/>
              <w:right w:val="single" w:sz="4" w:space="0" w:color="000000"/>
            </w:tcBorders>
            <w:shd w:val="clear" w:color="auto" w:fill="auto"/>
            <w:vAlign w:val="center"/>
            <w:hideMark/>
          </w:tcPr>
          <w:p w14:paraId="7E4E1DBF" w14:textId="108F7BD2"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100,00%</w:t>
            </w:r>
          </w:p>
        </w:tc>
        <w:tc>
          <w:tcPr>
            <w:tcW w:w="1701" w:type="dxa"/>
            <w:tcBorders>
              <w:top w:val="nil"/>
              <w:left w:val="nil"/>
              <w:bottom w:val="single" w:sz="4" w:space="0" w:color="000000"/>
              <w:right w:val="single" w:sz="4" w:space="0" w:color="000000"/>
            </w:tcBorders>
            <w:shd w:val="clear" w:color="auto" w:fill="auto"/>
            <w:hideMark/>
          </w:tcPr>
          <w:p w14:paraId="38894AF6" w14:textId="0F2D6B89"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060D873A" w14:textId="6F5D0FA3"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500976F7" w14:textId="1E97952B"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r>
      <w:tr w:rsidR="00191D48" w:rsidRPr="00747C83" w14:paraId="6E2DC8FE" w14:textId="77777777" w:rsidTr="00FB2503">
        <w:trPr>
          <w:trHeight w:val="252"/>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3F4670F9"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0C68CD69" w14:textId="373418A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Oper. Compromissadas em TP TN</w:t>
            </w:r>
          </w:p>
        </w:tc>
        <w:tc>
          <w:tcPr>
            <w:tcW w:w="1472" w:type="dxa"/>
            <w:tcBorders>
              <w:top w:val="nil"/>
              <w:left w:val="nil"/>
              <w:bottom w:val="single" w:sz="4" w:space="0" w:color="000000"/>
              <w:right w:val="single" w:sz="4" w:space="0" w:color="000000"/>
            </w:tcBorders>
            <w:shd w:val="clear" w:color="auto" w:fill="auto"/>
            <w:vAlign w:val="center"/>
            <w:hideMark/>
          </w:tcPr>
          <w:p w14:paraId="2B9CFD87"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7°, II</w:t>
            </w:r>
          </w:p>
        </w:tc>
        <w:tc>
          <w:tcPr>
            <w:tcW w:w="1134" w:type="dxa"/>
            <w:tcBorders>
              <w:top w:val="nil"/>
              <w:left w:val="nil"/>
              <w:bottom w:val="single" w:sz="4" w:space="0" w:color="000000"/>
              <w:right w:val="single" w:sz="4" w:space="0" w:color="000000"/>
            </w:tcBorders>
            <w:shd w:val="clear" w:color="auto" w:fill="auto"/>
            <w:vAlign w:val="center"/>
            <w:hideMark/>
          </w:tcPr>
          <w:p w14:paraId="40B6E95A"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5,00%</w:t>
            </w:r>
          </w:p>
        </w:tc>
        <w:tc>
          <w:tcPr>
            <w:tcW w:w="1701" w:type="dxa"/>
            <w:tcBorders>
              <w:top w:val="nil"/>
              <w:left w:val="nil"/>
              <w:bottom w:val="single" w:sz="4" w:space="0" w:color="000000"/>
              <w:right w:val="single" w:sz="4" w:space="0" w:color="000000"/>
            </w:tcBorders>
            <w:shd w:val="clear" w:color="auto" w:fill="auto"/>
            <w:hideMark/>
          </w:tcPr>
          <w:p w14:paraId="61B0E974" w14:textId="2E2AE232"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5AF8FF19" w14:textId="5849DA2C"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1D5F5ADE" w14:textId="6464FDC6"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r>
      <w:tr w:rsidR="00191D48" w:rsidRPr="00747C83" w14:paraId="5B472902" w14:textId="77777777" w:rsidTr="00FB2503">
        <w:trPr>
          <w:trHeight w:val="214"/>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6D84AA03"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157B2B1B" w14:textId="0AD13640"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FI referenciados RF</w:t>
            </w:r>
          </w:p>
        </w:tc>
        <w:tc>
          <w:tcPr>
            <w:tcW w:w="1472" w:type="dxa"/>
            <w:tcBorders>
              <w:top w:val="nil"/>
              <w:left w:val="nil"/>
              <w:bottom w:val="single" w:sz="4" w:space="0" w:color="000000"/>
              <w:right w:val="single" w:sz="4" w:space="0" w:color="000000"/>
            </w:tcBorders>
            <w:shd w:val="clear" w:color="auto" w:fill="auto"/>
            <w:vAlign w:val="center"/>
            <w:hideMark/>
          </w:tcPr>
          <w:p w14:paraId="31316195" w14:textId="43D4DAA1"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7°, III, "a"</w:t>
            </w:r>
          </w:p>
        </w:tc>
        <w:tc>
          <w:tcPr>
            <w:tcW w:w="1134" w:type="dxa"/>
            <w:tcBorders>
              <w:top w:val="nil"/>
              <w:left w:val="nil"/>
              <w:bottom w:val="single" w:sz="4" w:space="0" w:color="000000"/>
              <w:right w:val="single" w:sz="4" w:space="0" w:color="000000"/>
            </w:tcBorders>
            <w:shd w:val="clear" w:color="auto" w:fill="auto"/>
            <w:vAlign w:val="center"/>
            <w:hideMark/>
          </w:tcPr>
          <w:p w14:paraId="4E796280"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60,00%</w:t>
            </w:r>
          </w:p>
        </w:tc>
        <w:tc>
          <w:tcPr>
            <w:tcW w:w="1701" w:type="dxa"/>
            <w:tcBorders>
              <w:top w:val="nil"/>
              <w:left w:val="nil"/>
              <w:bottom w:val="single" w:sz="4" w:space="0" w:color="000000"/>
              <w:right w:val="single" w:sz="4" w:space="0" w:color="000000"/>
            </w:tcBorders>
            <w:shd w:val="clear" w:color="auto" w:fill="auto"/>
            <w:hideMark/>
          </w:tcPr>
          <w:p w14:paraId="0FD6AB89" w14:textId="7B7F739F"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397F5A79" w14:textId="672616D1" w:rsidR="00191D48" w:rsidRPr="003C108C" w:rsidRDefault="00B51E1E"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10</w:t>
            </w:r>
            <w:r w:rsidR="00191D48" w:rsidRPr="003C108C">
              <w:rPr>
                <w:sz w:val="18"/>
                <w:szCs w:val="18"/>
              </w:rPr>
              <w:t>,</w:t>
            </w:r>
            <w:r w:rsidR="00647602" w:rsidRPr="003C108C">
              <w:rPr>
                <w:sz w:val="18"/>
                <w:szCs w:val="18"/>
              </w:rPr>
              <w:t>54</w:t>
            </w:r>
            <w:r w:rsidR="00191D48" w:rsidRPr="003C108C">
              <w:rPr>
                <w:sz w:val="18"/>
                <w:szCs w:val="18"/>
              </w:rPr>
              <w:t>%</w:t>
            </w:r>
          </w:p>
        </w:tc>
        <w:tc>
          <w:tcPr>
            <w:tcW w:w="2126" w:type="dxa"/>
            <w:tcBorders>
              <w:top w:val="nil"/>
              <w:left w:val="nil"/>
              <w:bottom w:val="single" w:sz="4" w:space="0" w:color="000000"/>
              <w:right w:val="single" w:sz="8" w:space="0" w:color="000000"/>
            </w:tcBorders>
            <w:shd w:val="clear" w:color="auto" w:fill="auto"/>
            <w:hideMark/>
          </w:tcPr>
          <w:p w14:paraId="65BE942B" w14:textId="3611D2BB" w:rsidR="00191D48" w:rsidRPr="003C108C" w:rsidRDefault="00B51E1E"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60</w:t>
            </w:r>
            <w:r w:rsidR="00191D48" w:rsidRPr="003C108C">
              <w:rPr>
                <w:rFonts w:asciiTheme="minorHAnsi" w:eastAsia="Times New Roman" w:hAnsiTheme="minorHAnsi" w:cstheme="minorHAnsi"/>
                <w:color w:val="000000"/>
                <w:sz w:val="18"/>
                <w:szCs w:val="18"/>
                <w:lang w:eastAsia="pt-BR"/>
              </w:rPr>
              <w:t>,00%</w:t>
            </w:r>
          </w:p>
        </w:tc>
      </w:tr>
      <w:tr w:rsidR="00191D48" w:rsidRPr="00747C83" w14:paraId="0683D3BD" w14:textId="77777777" w:rsidTr="00FB2503">
        <w:trPr>
          <w:trHeight w:val="259"/>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53FD2770"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31DEDB3D" w14:textId="00B6EECD" w:rsidR="00191D48" w:rsidRPr="003C108C" w:rsidRDefault="00191D48" w:rsidP="00191D48">
            <w:pPr>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FI de Índices Referenciado RF</w:t>
            </w:r>
          </w:p>
        </w:tc>
        <w:tc>
          <w:tcPr>
            <w:tcW w:w="1472" w:type="dxa"/>
            <w:tcBorders>
              <w:top w:val="nil"/>
              <w:left w:val="nil"/>
              <w:bottom w:val="single" w:sz="4" w:space="0" w:color="000000"/>
              <w:right w:val="single" w:sz="4" w:space="0" w:color="000000"/>
            </w:tcBorders>
            <w:shd w:val="clear" w:color="auto" w:fill="auto"/>
            <w:vAlign w:val="center"/>
            <w:hideMark/>
          </w:tcPr>
          <w:p w14:paraId="4D8D8E0C"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7°, III, "b"</w:t>
            </w:r>
          </w:p>
        </w:tc>
        <w:tc>
          <w:tcPr>
            <w:tcW w:w="1134" w:type="dxa"/>
            <w:tcBorders>
              <w:top w:val="nil"/>
              <w:left w:val="nil"/>
              <w:bottom w:val="single" w:sz="4" w:space="0" w:color="000000"/>
              <w:right w:val="single" w:sz="4" w:space="0" w:color="000000"/>
            </w:tcBorders>
            <w:shd w:val="clear" w:color="auto" w:fill="auto"/>
            <w:vAlign w:val="center"/>
            <w:hideMark/>
          </w:tcPr>
          <w:p w14:paraId="4A8F48DC"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60,00%</w:t>
            </w:r>
          </w:p>
        </w:tc>
        <w:tc>
          <w:tcPr>
            <w:tcW w:w="1701" w:type="dxa"/>
            <w:tcBorders>
              <w:top w:val="nil"/>
              <w:left w:val="nil"/>
              <w:bottom w:val="single" w:sz="4" w:space="0" w:color="000000"/>
              <w:right w:val="single" w:sz="4" w:space="0" w:color="000000"/>
            </w:tcBorders>
            <w:shd w:val="clear" w:color="auto" w:fill="auto"/>
            <w:hideMark/>
          </w:tcPr>
          <w:p w14:paraId="616B3303" w14:textId="488CA21E"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6890E66F" w14:textId="51865E43"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19E52331" w14:textId="3A0BDB71"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r>
      <w:tr w:rsidR="00191D48" w:rsidRPr="00747C83" w14:paraId="5E10218B" w14:textId="77777777" w:rsidTr="00FB2503">
        <w:trPr>
          <w:trHeight w:val="231"/>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0A5EB156"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6DC5E224" w14:textId="08669354"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Renda Fixa de emissão Bancária</w:t>
            </w:r>
          </w:p>
        </w:tc>
        <w:tc>
          <w:tcPr>
            <w:tcW w:w="1472" w:type="dxa"/>
            <w:tcBorders>
              <w:top w:val="nil"/>
              <w:left w:val="nil"/>
              <w:bottom w:val="single" w:sz="4" w:space="0" w:color="000000"/>
              <w:right w:val="single" w:sz="4" w:space="0" w:color="000000"/>
            </w:tcBorders>
            <w:shd w:val="clear" w:color="auto" w:fill="auto"/>
            <w:vAlign w:val="center"/>
            <w:hideMark/>
          </w:tcPr>
          <w:p w14:paraId="5B817E3B"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7°, IV</w:t>
            </w:r>
          </w:p>
        </w:tc>
        <w:tc>
          <w:tcPr>
            <w:tcW w:w="1134" w:type="dxa"/>
            <w:tcBorders>
              <w:top w:val="nil"/>
              <w:left w:val="nil"/>
              <w:bottom w:val="single" w:sz="4" w:space="0" w:color="000000"/>
              <w:right w:val="single" w:sz="4" w:space="0" w:color="000000"/>
            </w:tcBorders>
            <w:shd w:val="clear" w:color="auto" w:fill="auto"/>
            <w:vAlign w:val="center"/>
            <w:hideMark/>
          </w:tcPr>
          <w:p w14:paraId="11D480B7"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20,00%</w:t>
            </w:r>
          </w:p>
        </w:tc>
        <w:tc>
          <w:tcPr>
            <w:tcW w:w="1701" w:type="dxa"/>
            <w:tcBorders>
              <w:top w:val="nil"/>
              <w:left w:val="nil"/>
              <w:bottom w:val="single" w:sz="4" w:space="0" w:color="000000"/>
              <w:right w:val="single" w:sz="4" w:space="0" w:color="000000"/>
            </w:tcBorders>
            <w:shd w:val="clear" w:color="auto" w:fill="auto"/>
            <w:hideMark/>
          </w:tcPr>
          <w:p w14:paraId="62C3B984" w14:textId="2D431A8C"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09B0D958" w14:textId="2E988A1A"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608EB705" w14:textId="19AE9781"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r>
      <w:tr w:rsidR="00191D48" w:rsidRPr="00747C83" w14:paraId="6A35EAFA" w14:textId="77777777" w:rsidTr="00FB2503">
        <w:trPr>
          <w:trHeight w:val="264"/>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2BE3AC76"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585BF1F9" w14:textId="622EB749"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FI em Direito Creditório - Sênior</w:t>
            </w:r>
          </w:p>
        </w:tc>
        <w:tc>
          <w:tcPr>
            <w:tcW w:w="1472" w:type="dxa"/>
            <w:tcBorders>
              <w:top w:val="nil"/>
              <w:left w:val="nil"/>
              <w:bottom w:val="single" w:sz="4" w:space="0" w:color="000000"/>
              <w:right w:val="single" w:sz="4" w:space="0" w:color="000000"/>
            </w:tcBorders>
            <w:shd w:val="clear" w:color="auto" w:fill="auto"/>
            <w:vAlign w:val="center"/>
            <w:hideMark/>
          </w:tcPr>
          <w:p w14:paraId="5A5EC5C2"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7°, V, "a"</w:t>
            </w:r>
          </w:p>
        </w:tc>
        <w:tc>
          <w:tcPr>
            <w:tcW w:w="1134" w:type="dxa"/>
            <w:tcBorders>
              <w:top w:val="nil"/>
              <w:left w:val="nil"/>
              <w:bottom w:val="single" w:sz="4" w:space="0" w:color="000000"/>
              <w:right w:val="single" w:sz="4" w:space="0" w:color="000000"/>
            </w:tcBorders>
            <w:shd w:val="clear" w:color="auto" w:fill="auto"/>
            <w:vAlign w:val="center"/>
            <w:hideMark/>
          </w:tcPr>
          <w:p w14:paraId="00D57753"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5,00%</w:t>
            </w:r>
          </w:p>
        </w:tc>
        <w:tc>
          <w:tcPr>
            <w:tcW w:w="1701" w:type="dxa"/>
            <w:tcBorders>
              <w:top w:val="nil"/>
              <w:left w:val="nil"/>
              <w:bottom w:val="single" w:sz="4" w:space="0" w:color="000000"/>
              <w:right w:val="single" w:sz="4" w:space="0" w:color="000000"/>
            </w:tcBorders>
            <w:shd w:val="clear" w:color="auto" w:fill="auto"/>
            <w:hideMark/>
          </w:tcPr>
          <w:p w14:paraId="3229F177" w14:textId="7338D050"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0E21236C" w14:textId="147B72B9"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0,46%</w:t>
            </w:r>
          </w:p>
        </w:tc>
        <w:tc>
          <w:tcPr>
            <w:tcW w:w="2126" w:type="dxa"/>
            <w:tcBorders>
              <w:top w:val="nil"/>
              <w:left w:val="nil"/>
              <w:bottom w:val="single" w:sz="4" w:space="0" w:color="000000"/>
              <w:right w:val="single" w:sz="8" w:space="0" w:color="000000"/>
            </w:tcBorders>
            <w:shd w:val="clear" w:color="auto" w:fill="auto"/>
            <w:hideMark/>
          </w:tcPr>
          <w:p w14:paraId="28589AC3" w14:textId="53C686DE" w:rsidR="00191D48" w:rsidRPr="003C108C" w:rsidRDefault="00B51E1E"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2</w:t>
            </w:r>
            <w:r w:rsidR="00191D48" w:rsidRPr="003C108C">
              <w:rPr>
                <w:rFonts w:asciiTheme="minorHAnsi" w:eastAsia="Times New Roman" w:hAnsiTheme="minorHAnsi" w:cstheme="minorHAnsi"/>
                <w:color w:val="000000"/>
                <w:sz w:val="18"/>
                <w:szCs w:val="18"/>
                <w:lang w:eastAsia="pt-BR"/>
              </w:rPr>
              <w:t>,00%</w:t>
            </w:r>
          </w:p>
        </w:tc>
      </w:tr>
      <w:tr w:rsidR="00191D48" w:rsidRPr="00747C83" w14:paraId="5D60F677" w14:textId="77777777" w:rsidTr="00FB2503">
        <w:trPr>
          <w:trHeight w:val="264"/>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3184653E"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3F2CCEFE" w14:textId="6B2D8B59"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FI Renda Fixa “Credito Privado”</w:t>
            </w:r>
          </w:p>
        </w:tc>
        <w:tc>
          <w:tcPr>
            <w:tcW w:w="1472" w:type="dxa"/>
            <w:tcBorders>
              <w:top w:val="nil"/>
              <w:left w:val="nil"/>
              <w:bottom w:val="single" w:sz="4" w:space="0" w:color="000000"/>
              <w:right w:val="single" w:sz="4" w:space="0" w:color="000000"/>
            </w:tcBorders>
            <w:shd w:val="clear" w:color="auto" w:fill="auto"/>
            <w:vAlign w:val="center"/>
            <w:hideMark/>
          </w:tcPr>
          <w:p w14:paraId="350DCD73"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7°, V, "b"</w:t>
            </w:r>
          </w:p>
        </w:tc>
        <w:tc>
          <w:tcPr>
            <w:tcW w:w="1134" w:type="dxa"/>
            <w:tcBorders>
              <w:top w:val="nil"/>
              <w:left w:val="nil"/>
              <w:bottom w:val="single" w:sz="4" w:space="0" w:color="000000"/>
              <w:right w:val="single" w:sz="4" w:space="0" w:color="000000"/>
            </w:tcBorders>
            <w:shd w:val="clear" w:color="auto" w:fill="auto"/>
            <w:vAlign w:val="center"/>
            <w:hideMark/>
          </w:tcPr>
          <w:p w14:paraId="6D8F932F"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5,00%</w:t>
            </w:r>
          </w:p>
        </w:tc>
        <w:tc>
          <w:tcPr>
            <w:tcW w:w="1701" w:type="dxa"/>
            <w:tcBorders>
              <w:top w:val="nil"/>
              <w:left w:val="nil"/>
              <w:bottom w:val="single" w:sz="4" w:space="0" w:color="000000"/>
              <w:right w:val="single" w:sz="4" w:space="0" w:color="000000"/>
            </w:tcBorders>
            <w:shd w:val="clear" w:color="auto" w:fill="auto"/>
            <w:hideMark/>
          </w:tcPr>
          <w:p w14:paraId="5ED270ED" w14:textId="3F85CDBE"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4A430B17" w14:textId="6EFCB435"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4,0</w:t>
            </w:r>
            <w:r w:rsidR="00647602" w:rsidRPr="003C108C">
              <w:rPr>
                <w:sz w:val="18"/>
                <w:szCs w:val="18"/>
              </w:rPr>
              <w:t>0</w:t>
            </w:r>
            <w:r w:rsidRPr="003C108C">
              <w:rPr>
                <w:sz w:val="18"/>
                <w:szCs w:val="18"/>
              </w:rPr>
              <w:t>%</w:t>
            </w:r>
          </w:p>
        </w:tc>
        <w:tc>
          <w:tcPr>
            <w:tcW w:w="2126" w:type="dxa"/>
            <w:tcBorders>
              <w:top w:val="nil"/>
              <w:left w:val="nil"/>
              <w:bottom w:val="single" w:sz="4" w:space="0" w:color="000000"/>
              <w:right w:val="single" w:sz="8" w:space="0" w:color="000000"/>
            </w:tcBorders>
            <w:shd w:val="clear" w:color="auto" w:fill="auto"/>
            <w:hideMark/>
          </w:tcPr>
          <w:p w14:paraId="090D46C7" w14:textId="32C148ED" w:rsidR="00191D48" w:rsidRPr="003C108C" w:rsidRDefault="00BC2D20"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5</w:t>
            </w:r>
            <w:r w:rsidR="00191D48" w:rsidRPr="003C108C">
              <w:rPr>
                <w:rFonts w:asciiTheme="minorHAnsi" w:eastAsia="Times New Roman" w:hAnsiTheme="minorHAnsi" w:cstheme="minorHAnsi"/>
                <w:color w:val="000000"/>
                <w:sz w:val="18"/>
                <w:szCs w:val="18"/>
                <w:lang w:eastAsia="pt-BR"/>
              </w:rPr>
              <w:t>,00%</w:t>
            </w:r>
          </w:p>
        </w:tc>
      </w:tr>
      <w:tr w:rsidR="00191D48" w:rsidRPr="00747C83" w14:paraId="66AFEA96" w14:textId="77777777" w:rsidTr="00FB2503">
        <w:trPr>
          <w:trHeight w:val="300"/>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6BDC1995"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nil"/>
              <w:right w:val="single" w:sz="4" w:space="0" w:color="000000"/>
            </w:tcBorders>
            <w:shd w:val="clear" w:color="auto" w:fill="auto"/>
            <w:vAlign w:val="center"/>
            <w:hideMark/>
          </w:tcPr>
          <w:p w14:paraId="75CE479C" w14:textId="708BF05B"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FI de Debêntures de infraestrutura</w:t>
            </w:r>
          </w:p>
        </w:tc>
        <w:tc>
          <w:tcPr>
            <w:tcW w:w="1472" w:type="dxa"/>
            <w:tcBorders>
              <w:top w:val="nil"/>
              <w:left w:val="nil"/>
              <w:bottom w:val="nil"/>
              <w:right w:val="single" w:sz="4" w:space="0" w:color="000000"/>
            </w:tcBorders>
            <w:shd w:val="clear" w:color="auto" w:fill="auto"/>
            <w:vAlign w:val="center"/>
            <w:hideMark/>
          </w:tcPr>
          <w:p w14:paraId="059E2DD4"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7°, V, "c"</w:t>
            </w:r>
          </w:p>
        </w:tc>
        <w:tc>
          <w:tcPr>
            <w:tcW w:w="1134" w:type="dxa"/>
            <w:tcBorders>
              <w:top w:val="nil"/>
              <w:left w:val="nil"/>
              <w:bottom w:val="nil"/>
              <w:right w:val="single" w:sz="4" w:space="0" w:color="000000"/>
            </w:tcBorders>
            <w:shd w:val="clear" w:color="auto" w:fill="auto"/>
            <w:vAlign w:val="center"/>
            <w:hideMark/>
          </w:tcPr>
          <w:p w14:paraId="2050BEC3"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5,00%</w:t>
            </w:r>
          </w:p>
        </w:tc>
        <w:tc>
          <w:tcPr>
            <w:tcW w:w="1701" w:type="dxa"/>
            <w:tcBorders>
              <w:top w:val="nil"/>
              <w:left w:val="nil"/>
              <w:bottom w:val="nil"/>
              <w:right w:val="single" w:sz="4" w:space="0" w:color="000000"/>
            </w:tcBorders>
            <w:shd w:val="clear" w:color="auto" w:fill="auto"/>
            <w:hideMark/>
          </w:tcPr>
          <w:p w14:paraId="75BF705E" w14:textId="34766978"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nil"/>
              <w:right w:val="single" w:sz="4" w:space="0" w:color="000000"/>
            </w:tcBorders>
            <w:shd w:val="clear" w:color="auto" w:fill="auto"/>
            <w:hideMark/>
          </w:tcPr>
          <w:p w14:paraId="4C46B677" w14:textId="3FA8AAB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0,00%</w:t>
            </w:r>
          </w:p>
        </w:tc>
        <w:tc>
          <w:tcPr>
            <w:tcW w:w="2126" w:type="dxa"/>
            <w:tcBorders>
              <w:top w:val="nil"/>
              <w:left w:val="nil"/>
              <w:bottom w:val="nil"/>
              <w:right w:val="single" w:sz="8" w:space="0" w:color="000000"/>
            </w:tcBorders>
            <w:shd w:val="clear" w:color="auto" w:fill="auto"/>
            <w:hideMark/>
          </w:tcPr>
          <w:p w14:paraId="4FD2D7DC" w14:textId="5EAFAED0"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r>
      <w:tr w:rsidR="00191D48" w:rsidRPr="00747C83" w14:paraId="007F6AA5" w14:textId="77777777" w:rsidTr="00FB2503">
        <w:trPr>
          <w:trHeight w:val="300"/>
          <w:jc w:val="center"/>
        </w:trPr>
        <w:tc>
          <w:tcPr>
            <w:tcW w:w="1694" w:type="dxa"/>
            <w:vMerge w:val="restart"/>
            <w:tcBorders>
              <w:top w:val="single" w:sz="8" w:space="0" w:color="000000"/>
              <w:left w:val="single" w:sz="8" w:space="0" w:color="000000"/>
              <w:bottom w:val="single" w:sz="8" w:space="0" w:color="000000"/>
              <w:right w:val="single" w:sz="4" w:space="0" w:color="000000"/>
            </w:tcBorders>
            <w:shd w:val="clear" w:color="000000" w:fill="195689"/>
            <w:noWrap/>
            <w:vAlign w:val="center"/>
            <w:hideMark/>
          </w:tcPr>
          <w:p w14:paraId="05C76A44" w14:textId="77777777" w:rsidR="00191D48" w:rsidRPr="003C108C" w:rsidRDefault="00191D48" w:rsidP="00191D48">
            <w:pPr>
              <w:spacing w:after="0" w:line="240" w:lineRule="auto"/>
              <w:ind w:right="-568" w:hanging="792"/>
              <w:jc w:val="center"/>
              <w:rPr>
                <w:rFonts w:asciiTheme="minorHAnsi" w:eastAsia="Times New Roman" w:hAnsiTheme="minorHAnsi" w:cstheme="minorHAnsi"/>
                <w:b/>
                <w:bCs/>
                <w:color w:val="FFFFFF"/>
                <w:sz w:val="18"/>
                <w:szCs w:val="18"/>
                <w:lang w:eastAsia="pt-BR"/>
              </w:rPr>
            </w:pPr>
            <w:r w:rsidRPr="003C108C">
              <w:rPr>
                <w:rFonts w:asciiTheme="minorHAnsi" w:eastAsia="Times New Roman" w:hAnsiTheme="minorHAnsi" w:cstheme="minorHAnsi"/>
                <w:b/>
                <w:bCs/>
                <w:color w:val="FFFFFF"/>
                <w:sz w:val="18"/>
                <w:szCs w:val="18"/>
                <w:lang w:eastAsia="pt-BR"/>
              </w:rPr>
              <w:t>RENDA VARIÁVEL</w:t>
            </w:r>
          </w:p>
        </w:tc>
        <w:tc>
          <w:tcPr>
            <w:tcW w:w="3345" w:type="dxa"/>
            <w:tcBorders>
              <w:top w:val="single" w:sz="8" w:space="0" w:color="000000"/>
              <w:left w:val="nil"/>
              <w:bottom w:val="single" w:sz="4" w:space="0" w:color="000000"/>
              <w:right w:val="single" w:sz="4" w:space="0" w:color="000000"/>
            </w:tcBorders>
            <w:shd w:val="clear" w:color="auto" w:fill="auto"/>
            <w:vAlign w:val="center"/>
            <w:hideMark/>
          </w:tcPr>
          <w:p w14:paraId="4E446A26" w14:textId="66404B43"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FI de Ações</w:t>
            </w:r>
          </w:p>
        </w:tc>
        <w:tc>
          <w:tcPr>
            <w:tcW w:w="1472" w:type="dxa"/>
            <w:tcBorders>
              <w:top w:val="single" w:sz="8" w:space="0" w:color="000000"/>
              <w:left w:val="nil"/>
              <w:bottom w:val="single" w:sz="4" w:space="0" w:color="000000"/>
              <w:right w:val="single" w:sz="4" w:space="0" w:color="000000"/>
            </w:tcBorders>
            <w:shd w:val="clear" w:color="auto" w:fill="auto"/>
            <w:vAlign w:val="center"/>
            <w:hideMark/>
          </w:tcPr>
          <w:p w14:paraId="31A91D88"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8, I</w:t>
            </w:r>
          </w:p>
        </w:tc>
        <w:tc>
          <w:tcPr>
            <w:tcW w:w="1134" w:type="dxa"/>
            <w:tcBorders>
              <w:top w:val="single" w:sz="8" w:space="0" w:color="000000"/>
              <w:left w:val="nil"/>
              <w:bottom w:val="single" w:sz="4" w:space="0" w:color="000000"/>
              <w:right w:val="single" w:sz="4" w:space="0" w:color="000000"/>
            </w:tcBorders>
            <w:shd w:val="clear" w:color="auto" w:fill="auto"/>
            <w:vAlign w:val="center"/>
            <w:hideMark/>
          </w:tcPr>
          <w:p w14:paraId="3FDEA932"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30,00%</w:t>
            </w:r>
          </w:p>
        </w:tc>
        <w:tc>
          <w:tcPr>
            <w:tcW w:w="1701" w:type="dxa"/>
            <w:tcBorders>
              <w:top w:val="single" w:sz="8" w:space="0" w:color="000000"/>
              <w:left w:val="nil"/>
              <w:bottom w:val="single" w:sz="4" w:space="0" w:color="000000"/>
              <w:right w:val="single" w:sz="4" w:space="0" w:color="000000"/>
            </w:tcBorders>
            <w:shd w:val="clear" w:color="auto" w:fill="auto"/>
            <w:hideMark/>
          </w:tcPr>
          <w:p w14:paraId="2C282FA2" w14:textId="7C7AA559"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single" w:sz="8" w:space="0" w:color="000000"/>
              <w:left w:val="nil"/>
              <w:bottom w:val="single" w:sz="4" w:space="0" w:color="000000"/>
              <w:right w:val="single" w:sz="4" w:space="0" w:color="000000"/>
            </w:tcBorders>
            <w:shd w:val="clear" w:color="auto" w:fill="auto"/>
            <w:hideMark/>
          </w:tcPr>
          <w:p w14:paraId="1CB82AED" w14:textId="6C5C9206" w:rsidR="00191D48" w:rsidRPr="003C108C" w:rsidRDefault="00647602"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5,00</w:t>
            </w:r>
            <w:r w:rsidR="00191D48" w:rsidRPr="003C108C">
              <w:rPr>
                <w:sz w:val="18"/>
                <w:szCs w:val="18"/>
              </w:rPr>
              <w:t>%</w:t>
            </w:r>
          </w:p>
        </w:tc>
        <w:tc>
          <w:tcPr>
            <w:tcW w:w="2126" w:type="dxa"/>
            <w:tcBorders>
              <w:top w:val="single" w:sz="8" w:space="0" w:color="000000"/>
              <w:left w:val="nil"/>
              <w:bottom w:val="single" w:sz="4" w:space="0" w:color="000000"/>
              <w:right w:val="single" w:sz="8" w:space="0" w:color="000000"/>
            </w:tcBorders>
            <w:shd w:val="clear" w:color="auto" w:fill="auto"/>
            <w:hideMark/>
          </w:tcPr>
          <w:p w14:paraId="60538E1A" w14:textId="37D46D63" w:rsidR="00191D48" w:rsidRPr="003C108C" w:rsidRDefault="00647602"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10</w:t>
            </w:r>
            <w:r w:rsidR="00191D48" w:rsidRPr="003C108C">
              <w:rPr>
                <w:rFonts w:asciiTheme="minorHAnsi" w:eastAsia="Times New Roman" w:hAnsiTheme="minorHAnsi" w:cstheme="minorHAnsi"/>
                <w:color w:val="000000"/>
                <w:sz w:val="18"/>
                <w:szCs w:val="18"/>
                <w:lang w:eastAsia="pt-BR"/>
              </w:rPr>
              <w:t>,00%</w:t>
            </w:r>
          </w:p>
        </w:tc>
      </w:tr>
      <w:tr w:rsidR="00191D48" w:rsidRPr="00747C83" w14:paraId="0306B5C7" w14:textId="77777777" w:rsidTr="00FB2503">
        <w:trPr>
          <w:trHeight w:val="300"/>
          <w:jc w:val="center"/>
        </w:trPr>
        <w:tc>
          <w:tcPr>
            <w:tcW w:w="1694" w:type="dxa"/>
            <w:vMerge/>
            <w:tcBorders>
              <w:top w:val="single" w:sz="8" w:space="0" w:color="000000"/>
              <w:left w:val="single" w:sz="8" w:space="0" w:color="000000"/>
              <w:bottom w:val="single" w:sz="8" w:space="0" w:color="000000"/>
              <w:right w:val="single" w:sz="4" w:space="0" w:color="000000"/>
            </w:tcBorders>
            <w:vAlign w:val="center"/>
            <w:hideMark/>
          </w:tcPr>
          <w:p w14:paraId="332ADE56"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8" w:space="0" w:color="000000"/>
              <w:right w:val="single" w:sz="4" w:space="0" w:color="000000"/>
            </w:tcBorders>
            <w:shd w:val="clear" w:color="auto" w:fill="auto"/>
            <w:vAlign w:val="center"/>
            <w:hideMark/>
          </w:tcPr>
          <w:p w14:paraId="0EA04B09" w14:textId="2D0CD865"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ETF – Índices de ações</w:t>
            </w:r>
          </w:p>
        </w:tc>
        <w:tc>
          <w:tcPr>
            <w:tcW w:w="1472" w:type="dxa"/>
            <w:tcBorders>
              <w:top w:val="nil"/>
              <w:left w:val="nil"/>
              <w:bottom w:val="single" w:sz="8" w:space="0" w:color="000000"/>
              <w:right w:val="single" w:sz="4" w:space="0" w:color="000000"/>
            </w:tcBorders>
            <w:shd w:val="clear" w:color="auto" w:fill="auto"/>
            <w:vAlign w:val="center"/>
            <w:hideMark/>
          </w:tcPr>
          <w:p w14:paraId="366B4351"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8°, II</w:t>
            </w:r>
          </w:p>
        </w:tc>
        <w:tc>
          <w:tcPr>
            <w:tcW w:w="1134" w:type="dxa"/>
            <w:tcBorders>
              <w:top w:val="nil"/>
              <w:left w:val="nil"/>
              <w:bottom w:val="single" w:sz="8" w:space="0" w:color="000000"/>
              <w:right w:val="single" w:sz="4" w:space="0" w:color="000000"/>
            </w:tcBorders>
            <w:shd w:val="clear" w:color="auto" w:fill="auto"/>
            <w:vAlign w:val="center"/>
            <w:hideMark/>
          </w:tcPr>
          <w:p w14:paraId="4C024E9B"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30,00%</w:t>
            </w:r>
          </w:p>
        </w:tc>
        <w:tc>
          <w:tcPr>
            <w:tcW w:w="1701" w:type="dxa"/>
            <w:tcBorders>
              <w:top w:val="nil"/>
              <w:left w:val="nil"/>
              <w:bottom w:val="single" w:sz="8" w:space="0" w:color="000000"/>
              <w:right w:val="single" w:sz="4" w:space="0" w:color="000000"/>
            </w:tcBorders>
            <w:shd w:val="clear" w:color="auto" w:fill="auto"/>
            <w:hideMark/>
          </w:tcPr>
          <w:p w14:paraId="57F524AC" w14:textId="3C6B68EF"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8" w:space="0" w:color="000000"/>
              <w:right w:val="single" w:sz="4" w:space="0" w:color="000000"/>
            </w:tcBorders>
            <w:shd w:val="clear" w:color="auto" w:fill="auto"/>
            <w:hideMark/>
          </w:tcPr>
          <w:p w14:paraId="728CC9C0" w14:textId="77AB1188"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0,00%</w:t>
            </w:r>
          </w:p>
        </w:tc>
        <w:tc>
          <w:tcPr>
            <w:tcW w:w="2126" w:type="dxa"/>
            <w:tcBorders>
              <w:top w:val="nil"/>
              <w:left w:val="nil"/>
              <w:bottom w:val="single" w:sz="8" w:space="0" w:color="000000"/>
              <w:right w:val="single" w:sz="8" w:space="0" w:color="000000"/>
            </w:tcBorders>
            <w:shd w:val="clear" w:color="auto" w:fill="auto"/>
            <w:hideMark/>
          </w:tcPr>
          <w:p w14:paraId="1E24C0D7" w14:textId="0D0C7D4C" w:rsidR="00191D48" w:rsidRPr="003C108C" w:rsidRDefault="00647602"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2</w:t>
            </w:r>
            <w:r w:rsidR="00191D48" w:rsidRPr="003C108C">
              <w:rPr>
                <w:rFonts w:asciiTheme="minorHAnsi" w:eastAsia="Times New Roman" w:hAnsiTheme="minorHAnsi" w:cstheme="minorHAnsi"/>
                <w:color w:val="000000"/>
                <w:sz w:val="18"/>
                <w:szCs w:val="18"/>
                <w:lang w:eastAsia="pt-BR"/>
              </w:rPr>
              <w:t>,00%</w:t>
            </w:r>
          </w:p>
        </w:tc>
      </w:tr>
      <w:tr w:rsidR="00191D48" w:rsidRPr="00747C83" w14:paraId="29C9C241" w14:textId="77777777" w:rsidTr="00FB2503">
        <w:trPr>
          <w:trHeight w:val="300"/>
          <w:jc w:val="center"/>
        </w:trPr>
        <w:tc>
          <w:tcPr>
            <w:tcW w:w="1694" w:type="dxa"/>
            <w:vMerge w:val="restart"/>
            <w:tcBorders>
              <w:top w:val="nil"/>
              <w:left w:val="single" w:sz="8" w:space="0" w:color="000000"/>
              <w:bottom w:val="single" w:sz="8" w:space="0" w:color="000000"/>
              <w:right w:val="single" w:sz="4" w:space="0" w:color="000000"/>
            </w:tcBorders>
            <w:shd w:val="clear" w:color="000000" w:fill="195689"/>
            <w:noWrap/>
            <w:vAlign w:val="center"/>
            <w:hideMark/>
          </w:tcPr>
          <w:p w14:paraId="33783337" w14:textId="77777777" w:rsidR="00191D48" w:rsidRPr="003C108C" w:rsidRDefault="00191D48" w:rsidP="00191D48">
            <w:pPr>
              <w:spacing w:after="0" w:line="240" w:lineRule="auto"/>
              <w:ind w:right="-568" w:hanging="792"/>
              <w:jc w:val="center"/>
              <w:rPr>
                <w:rFonts w:asciiTheme="minorHAnsi" w:eastAsia="Times New Roman" w:hAnsiTheme="minorHAnsi" w:cstheme="minorHAnsi"/>
                <w:b/>
                <w:bCs/>
                <w:color w:val="FFFFFF"/>
                <w:sz w:val="18"/>
                <w:szCs w:val="18"/>
                <w:lang w:eastAsia="pt-BR"/>
              </w:rPr>
            </w:pPr>
            <w:r w:rsidRPr="003C108C">
              <w:rPr>
                <w:rFonts w:asciiTheme="minorHAnsi" w:eastAsia="Times New Roman" w:hAnsiTheme="minorHAnsi" w:cstheme="minorHAnsi"/>
                <w:b/>
                <w:bCs/>
                <w:color w:val="FFFFFF"/>
                <w:sz w:val="18"/>
                <w:szCs w:val="18"/>
                <w:lang w:eastAsia="pt-BR"/>
              </w:rPr>
              <w:t>EXTERIOR</w:t>
            </w:r>
          </w:p>
        </w:tc>
        <w:tc>
          <w:tcPr>
            <w:tcW w:w="3345" w:type="dxa"/>
            <w:tcBorders>
              <w:top w:val="nil"/>
              <w:left w:val="nil"/>
              <w:bottom w:val="single" w:sz="4" w:space="0" w:color="000000"/>
              <w:right w:val="single" w:sz="4" w:space="0" w:color="000000"/>
            </w:tcBorders>
            <w:shd w:val="clear" w:color="auto" w:fill="auto"/>
            <w:vAlign w:val="center"/>
            <w:hideMark/>
          </w:tcPr>
          <w:p w14:paraId="255186FF" w14:textId="0EAD7F62"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Renda Fixa - Dívida Externa</w:t>
            </w:r>
          </w:p>
        </w:tc>
        <w:tc>
          <w:tcPr>
            <w:tcW w:w="1472" w:type="dxa"/>
            <w:tcBorders>
              <w:top w:val="nil"/>
              <w:left w:val="nil"/>
              <w:bottom w:val="single" w:sz="4" w:space="0" w:color="000000"/>
              <w:right w:val="single" w:sz="4" w:space="0" w:color="000000"/>
            </w:tcBorders>
            <w:shd w:val="clear" w:color="auto" w:fill="auto"/>
            <w:vAlign w:val="center"/>
            <w:hideMark/>
          </w:tcPr>
          <w:p w14:paraId="43B4B017"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9°, I</w:t>
            </w:r>
          </w:p>
        </w:tc>
        <w:tc>
          <w:tcPr>
            <w:tcW w:w="1134" w:type="dxa"/>
            <w:tcBorders>
              <w:top w:val="nil"/>
              <w:left w:val="nil"/>
              <w:bottom w:val="single" w:sz="4" w:space="0" w:color="000000"/>
              <w:right w:val="single" w:sz="4" w:space="0" w:color="000000"/>
            </w:tcBorders>
            <w:shd w:val="clear" w:color="auto" w:fill="auto"/>
            <w:vAlign w:val="center"/>
            <w:hideMark/>
          </w:tcPr>
          <w:p w14:paraId="05D438D4"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10,00%</w:t>
            </w:r>
          </w:p>
        </w:tc>
        <w:tc>
          <w:tcPr>
            <w:tcW w:w="1701" w:type="dxa"/>
            <w:tcBorders>
              <w:top w:val="nil"/>
              <w:left w:val="nil"/>
              <w:bottom w:val="single" w:sz="4" w:space="0" w:color="000000"/>
              <w:right w:val="single" w:sz="4" w:space="0" w:color="000000"/>
            </w:tcBorders>
            <w:shd w:val="clear" w:color="auto" w:fill="auto"/>
            <w:hideMark/>
          </w:tcPr>
          <w:p w14:paraId="23255F74" w14:textId="06837415"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6BCBB5E9" w14:textId="57DE8725"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010EA482" w14:textId="46385474"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r>
      <w:tr w:rsidR="00191D48" w:rsidRPr="00747C83" w14:paraId="00567B36" w14:textId="77777777" w:rsidTr="00FB2503">
        <w:trPr>
          <w:trHeight w:val="300"/>
          <w:jc w:val="center"/>
        </w:trPr>
        <w:tc>
          <w:tcPr>
            <w:tcW w:w="1694" w:type="dxa"/>
            <w:vMerge/>
            <w:tcBorders>
              <w:top w:val="nil"/>
              <w:left w:val="single" w:sz="8" w:space="0" w:color="000000"/>
              <w:bottom w:val="single" w:sz="8" w:space="0" w:color="000000"/>
              <w:right w:val="single" w:sz="4" w:space="0" w:color="000000"/>
            </w:tcBorders>
            <w:vAlign w:val="center"/>
            <w:hideMark/>
          </w:tcPr>
          <w:p w14:paraId="3C2E05D7"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4CA2E05C" w14:textId="2654A5A1"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Constituído no Brasil</w:t>
            </w:r>
          </w:p>
        </w:tc>
        <w:tc>
          <w:tcPr>
            <w:tcW w:w="1472" w:type="dxa"/>
            <w:tcBorders>
              <w:top w:val="nil"/>
              <w:left w:val="nil"/>
              <w:bottom w:val="single" w:sz="4" w:space="0" w:color="000000"/>
              <w:right w:val="single" w:sz="4" w:space="0" w:color="000000"/>
            </w:tcBorders>
            <w:shd w:val="clear" w:color="auto" w:fill="auto"/>
            <w:vAlign w:val="center"/>
            <w:hideMark/>
          </w:tcPr>
          <w:p w14:paraId="1F860416"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9°, II</w:t>
            </w:r>
          </w:p>
        </w:tc>
        <w:tc>
          <w:tcPr>
            <w:tcW w:w="1134" w:type="dxa"/>
            <w:tcBorders>
              <w:top w:val="nil"/>
              <w:left w:val="nil"/>
              <w:bottom w:val="single" w:sz="4" w:space="0" w:color="000000"/>
              <w:right w:val="single" w:sz="4" w:space="0" w:color="000000"/>
            </w:tcBorders>
            <w:shd w:val="clear" w:color="auto" w:fill="auto"/>
            <w:vAlign w:val="center"/>
            <w:hideMark/>
          </w:tcPr>
          <w:p w14:paraId="73579196"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10,00%</w:t>
            </w:r>
          </w:p>
        </w:tc>
        <w:tc>
          <w:tcPr>
            <w:tcW w:w="1701" w:type="dxa"/>
            <w:tcBorders>
              <w:top w:val="nil"/>
              <w:left w:val="nil"/>
              <w:bottom w:val="single" w:sz="4" w:space="0" w:color="000000"/>
              <w:right w:val="single" w:sz="4" w:space="0" w:color="000000"/>
            </w:tcBorders>
            <w:shd w:val="clear" w:color="auto" w:fill="auto"/>
            <w:hideMark/>
          </w:tcPr>
          <w:p w14:paraId="62D62E75" w14:textId="0277E8BD"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4DC11981" w14:textId="2B13583F"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03FC47AD" w14:textId="56F708CD"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r>
      <w:tr w:rsidR="00191D48" w:rsidRPr="00747C83" w14:paraId="48068707" w14:textId="77777777" w:rsidTr="00FB2503">
        <w:trPr>
          <w:trHeight w:val="300"/>
          <w:jc w:val="center"/>
        </w:trPr>
        <w:tc>
          <w:tcPr>
            <w:tcW w:w="1694" w:type="dxa"/>
            <w:vMerge/>
            <w:tcBorders>
              <w:top w:val="nil"/>
              <w:left w:val="single" w:sz="8" w:space="0" w:color="000000"/>
              <w:bottom w:val="single" w:sz="8" w:space="0" w:color="000000"/>
              <w:right w:val="single" w:sz="4" w:space="0" w:color="000000"/>
            </w:tcBorders>
            <w:vAlign w:val="center"/>
            <w:hideMark/>
          </w:tcPr>
          <w:p w14:paraId="10C18569"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8" w:space="0" w:color="000000"/>
              <w:right w:val="single" w:sz="4" w:space="0" w:color="000000"/>
            </w:tcBorders>
            <w:shd w:val="clear" w:color="auto" w:fill="auto"/>
            <w:vAlign w:val="center"/>
            <w:hideMark/>
          </w:tcPr>
          <w:p w14:paraId="6B27C8DD" w14:textId="21A11B93"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Ações - BDR Nível I</w:t>
            </w:r>
          </w:p>
        </w:tc>
        <w:tc>
          <w:tcPr>
            <w:tcW w:w="1472" w:type="dxa"/>
            <w:tcBorders>
              <w:top w:val="nil"/>
              <w:left w:val="nil"/>
              <w:bottom w:val="single" w:sz="8" w:space="0" w:color="000000"/>
              <w:right w:val="single" w:sz="4" w:space="0" w:color="000000"/>
            </w:tcBorders>
            <w:shd w:val="clear" w:color="auto" w:fill="auto"/>
            <w:vAlign w:val="center"/>
            <w:hideMark/>
          </w:tcPr>
          <w:p w14:paraId="7051A593"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9°, III</w:t>
            </w:r>
          </w:p>
        </w:tc>
        <w:tc>
          <w:tcPr>
            <w:tcW w:w="1134" w:type="dxa"/>
            <w:tcBorders>
              <w:top w:val="nil"/>
              <w:left w:val="nil"/>
              <w:bottom w:val="single" w:sz="8" w:space="0" w:color="000000"/>
              <w:right w:val="single" w:sz="4" w:space="0" w:color="000000"/>
            </w:tcBorders>
            <w:shd w:val="clear" w:color="auto" w:fill="auto"/>
            <w:vAlign w:val="center"/>
            <w:hideMark/>
          </w:tcPr>
          <w:p w14:paraId="0749DBFC"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10,00%</w:t>
            </w:r>
          </w:p>
        </w:tc>
        <w:tc>
          <w:tcPr>
            <w:tcW w:w="1701" w:type="dxa"/>
            <w:tcBorders>
              <w:top w:val="nil"/>
              <w:left w:val="nil"/>
              <w:bottom w:val="single" w:sz="8" w:space="0" w:color="000000"/>
              <w:right w:val="single" w:sz="4" w:space="0" w:color="000000"/>
            </w:tcBorders>
            <w:shd w:val="clear" w:color="auto" w:fill="auto"/>
            <w:hideMark/>
          </w:tcPr>
          <w:p w14:paraId="72FFEB0F" w14:textId="1FE853C5"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8" w:space="0" w:color="000000"/>
              <w:right w:val="single" w:sz="4" w:space="0" w:color="000000"/>
            </w:tcBorders>
            <w:shd w:val="clear" w:color="auto" w:fill="auto"/>
            <w:hideMark/>
          </w:tcPr>
          <w:p w14:paraId="5EE9937C" w14:textId="401DDFFE" w:rsidR="00191D48" w:rsidRPr="003C108C" w:rsidRDefault="00647602"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3</w:t>
            </w:r>
            <w:r w:rsidR="00191D48" w:rsidRPr="003C108C">
              <w:rPr>
                <w:sz w:val="18"/>
                <w:szCs w:val="18"/>
              </w:rPr>
              <w:t>,00%</w:t>
            </w:r>
          </w:p>
        </w:tc>
        <w:tc>
          <w:tcPr>
            <w:tcW w:w="2126" w:type="dxa"/>
            <w:tcBorders>
              <w:top w:val="nil"/>
              <w:left w:val="nil"/>
              <w:bottom w:val="single" w:sz="8" w:space="0" w:color="000000"/>
              <w:right w:val="single" w:sz="8" w:space="0" w:color="000000"/>
            </w:tcBorders>
            <w:shd w:val="clear" w:color="auto" w:fill="auto"/>
            <w:hideMark/>
          </w:tcPr>
          <w:p w14:paraId="41CBF1C2" w14:textId="50F04861" w:rsidR="00191D48" w:rsidRPr="003C108C" w:rsidRDefault="00647602"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5</w:t>
            </w:r>
            <w:r w:rsidR="00191D48" w:rsidRPr="003C108C">
              <w:rPr>
                <w:rFonts w:asciiTheme="minorHAnsi" w:eastAsia="Times New Roman" w:hAnsiTheme="minorHAnsi" w:cstheme="minorHAnsi"/>
                <w:color w:val="000000"/>
                <w:sz w:val="18"/>
                <w:szCs w:val="18"/>
                <w:lang w:eastAsia="pt-BR"/>
              </w:rPr>
              <w:t>,00%</w:t>
            </w:r>
          </w:p>
        </w:tc>
      </w:tr>
      <w:tr w:rsidR="00191D48" w:rsidRPr="00747C83" w14:paraId="120C1600" w14:textId="77777777" w:rsidTr="00FB2503">
        <w:trPr>
          <w:trHeight w:val="300"/>
          <w:jc w:val="center"/>
        </w:trPr>
        <w:tc>
          <w:tcPr>
            <w:tcW w:w="1694" w:type="dxa"/>
            <w:vMerge w:val="restart"/>
            <w:tcBorders>
              <w:top w:val="nil"/>
              <w:left w:val="single" w:sz="8" w:space="0" w:color="000000"/>
              <w:bottom w:val="single" w:sz="4" w:space="0" w:color="000000"/>
              <w:right w:val="single" w:sz="4" w:space="0" w:color="000000"/>
            </w:tcBorders>
            <w:shd w:val="clear" w:color="000000" w:fill="195689"/>
            <w:noWrap/>
            <w:vAlign w:val="center"/>
            <w:hideMark/>
          </w:tcPr>
          <w:p w14:paraId="3D76F26E" w14:textId="77777777" w:rsidR="00191D48" w:rsidRPr="003C108C" w:rsidRDefault="00191D48" w:rsidP="00191D48">
            <w:pPr>
              <w:spacing w:after="0" w:line="240" w:lineRule="auto"/>
              <w:ind w:right="-568" w:hanging="792"/>
              <w:jc w:val="center"/>
              <w:rPr>
                <w:rFonts w:asciiTheme="minorHAnsi" w:eastAsia="Times New Roman" w:hAnsiTheme="minorHAnsi" w:cstheme="minorHAnsi"/>
                <w:b/>
                <w:bCs/>
                <w:color w:val="FFFFFF"/>
                <w:sz w:val="18"/>
                <w:szCs w:val="18"/>
                <w:lang w:eastAsia="pt-BR"/>
              </w:rPr>
            </w:pPr>
            <w:r w:rsidRPr="003C108C">
              <w:rPr>
                <w:rFonts w:asciiTheme="minorHAnsi" w:eastAsia="Times New Roman" w:hAnsiTheme="minorHAnsi" w:cstheme="minorHAnsi"/>
                <w:b/>
                <w:bCs/>
                <w:color w:val="FFFFFF"/>
                <w:sz w:val="18"/>
                <w:szCs w:val="18"/>
                <w:lang w:eastAsia="pt-BR"/>
              </w:rPr>
              <w:t>ESTRUTURADO</w:t>
            </w:r>
          </w:p>
        </w:tc>
        <w:tc>
          <w:tcPr>
            <w:tcW w:w="3345" w:type="dxa"/>
            <w:tcBorders>
              <w:top w:val="nil"/>
              <w:left w:val="nil"/>
              <w:bottom w:val="single" w:sz="4" w:space="0" w:color="000000"/>
              <w:right w:val="single" w:sz="4" w:space="0" w:color="000000"/>
            </w:tcBorders>
            <w:shd w:val="clear" w:color="auto" w:fill="auto"/>
            <w:vAlign w:val="center"/>
            <w:hideMark/>
          </w:tcPr>
          <w:p w14:paraId="173F4C77" w14:textId="1E55C311"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FI Multimercados</w:t>
            </w:r>
          </w:p>
        </w:tc>
        <w:tc>
          <w:tcPr>
            <w:tcW w:w="1472" w:type="dxa"/>
            <w:tcBorders>
              <w:top w:val="nil"/>
              <w:left w:val="nil"/>
              <w:bottom w:val="single" w:sz="4" w:space="0" w:color="000000"/>
              <w:right w:val="single" w:sz="4" w:space="0" w:color="000000"/>
            </w:tcBorders>
            <w:shd w:val="clear" w:color="auto" w:fill="auto"/>
            <w:vAlign w:val="center"/>
            <w:hideMark/>
          </w:tcPr>
          <w:p w14:paraId="72653749"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10, I</w:t>
            </w:r>
          </w:p>
        </w:tc>
        <w:tc>
          <w:tcPr>
            <w:tcW w:w="1134" w:type="dxa"/>
            <w:tcBorders>
              <w:top w:val="nil"/>
              <w:left w:val="nil"/>
              <w:bottom w:val="single" w:sz="4" w:space="0" w:color="000000"/>
              <w:right w:val="single" w:sz="4" w:space="0" w:color="000000"/>
            </w:tcBorders>
            <w:shd w:val="clear" w:color="auto" w:fill="auto"/>
            <w:vAlign w:val="center"/>
            <w:hideMark/>
          </w:tcPr>
          <w:p w14:paraId="3006E55B"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10,00%</w:t>
            </w:r>
          </w:p>
        </w:tc>
        <w:tc>
          <w:tcPr>
            <w:tcW w:w="1701" w:type="dxa"/>
            <w:tcBorders>
              <w:top w:val="nil"/>
              <w:left w:val="nil"/>
              <w:bottom w:val="single" w:sz="4" w:space="0" w:color="000000"/>
              <w:right w:val="single" w:sz="4" w:space="0" w:color="000000"/>
            </w:tcBorders>
            <w:shd w:val="clear" w:color="auto" w:fill="auto"/>
            <w:hideMark/>
          </w:tcPr>
          <w:p w14:paraId="682990C2" w14:textId="3E3AAFC8"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1DA34DC7" w14:textId="6DC6B0B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7,00%</w:t>
            </w:r>
          </w:p>
        </w:tc>
        <w:tc>
          <w:tcPr>
            <w:tcW w:w="2126" w:type="dxa"/>
            <w:tcBorders>
              <w:top w:val="nil"/>
              <w:left w:val="nil"/>
              <w:bottom w:val="single" w:sz="4" w:space="0" w:color="000000"/>
              <w:right w:val="single" w:sz="8" w:space="0" w:color="000000"/>
            </w:tcBorders>
            <w:shd w:val="clear" w:color="auto" w:fill="auto"/>
            <w:hideMark/>
          </w:tcPr>
          <w:p w14:paraId="1CEB82F8" w14:textId="2F80E79D" w:rsidR="00191D48" w:rsidRPr="003C108C" w:rsidRDefault="00647602"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10</w:t>
            </w:r>
            <w:r w:rsidR="00191D48" w:rsidRPr="003C108C">
              <w:rPr>
                <w:rFonts w:asciiTheme="minorHAnsi" w:eastAsia="Times New Roman" w:hAnsiTheme="minorHAnsi" w:cstheme="minorHAnsi"/>
                <w:color w:val="000000"/>
                <w:sz w:val="18"/>
                <w:szCs w:val="18"/>
                <w:lang w:eastAsia="pt-BR"/>
              </w:rPr>
              <w:t>,00%</w:t>
            </w:r>
          </w:p>
        </w:tc>
      </w:tr>
      <w:tr w:rsidR="00191D48" w:rsidRPr="00747C83" w14:paraId="63723E97" w14:textId="77777777" w:rsidTr="00FB2503">
        <w:trPr>
          <w:trHeight w:val="300"/>
          <w:jc w:val="center"/>
        </w:trPr>
        <w:tc>
          <w:tcPr>
            <w:tcW w:w="1694" w:type="dxa"/>
            <w:vMerge/>
            <w:tcBorders>
              <w:top w:val="nil"/>
              <w:left w:val="single" w:sz="8" w:space="0" w:color="000000"/>
              <w:bottom w:val="single" w:sz="4" w:space="0" w:color="000000"/>
              <w:right w:val="single" w:sz="4" w:space="0" w:color="000000"/>
            </w:tcBorders>
            <w:vAlign w:val="center"/>
            <w:hideMark/>
          </w:tcPr>
          <w:p w14:paraId="74B4B06D"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52E128CD" w14:textId="3A8C0A53"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FI em Participações</w:t>
            </w:r>
          </w:p>
        </w:tc>
        <w:tc>
          <w:tcPr>
            <w:tcW w:w="1472" w:type="dxa"/>
            <w:tcBorders>
              <w:top w:val="nil"/>
              <w:left w:val="nil"/>
              <w:bottom w:val="single" w:sz="4" w:space="0" w:color="000000"/>
              <w:right w:val="single" w:sz="4" w:space="0" w:color="000000"/>
            </w:tcBorders>
            <w:shd w:val="clear" w:color="auto" w:fill="auto"/>
            <w:vAlign w:val="center"/>
            <w:hideMark/>
          </w:tcPr>
          <w:p w14:paraId="22E72D32"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10, II</w:t>
            </w:r>
          </w:p>
        </w:tc>
        <w:tc>
          <w:tcPr>
            <w:tcW w:w="1134" w:type="dxa"/>
            <w:tcBorders>
              <w:top w:val="nil"/>
              <w:left w:val="nil"/>
              <w:bottom w:val="single" w:sz="4" w:space="0" w:color="000000"/>
              <w:right w:val="single" w:sz="4" w:space="0" w:color="000000"/>
            </w:tcBorders>
            <w:shd w:val="clear" w:color="auto" w:fill="auto"/>
            <w:vAlign w:val="center"/>
            <w:hideMark/>
          </w:tcPr>
          <w:p w14:paraId="19BDA026"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5,00%</w:t>
            </w:r>
          </w:p>
        </w:tc>
        <w:tc>
          <w:tcPr>
            <w:tcW w:w="1701" w:type="dxa"/>
            <w:tcBorders>
              <w:top w:val="nil"/>
              <w:left w:val="nil"/>
              <w:bottom w:val="single" w:sz="4" w:space="0" w:color="000000"/>
              <w:right w:val="single" w:sz="4" w:space="0" w:color="000000"/>
            </w:tcBorders>
            <w:shd w:val="clear" w:color="auto" w:fill="auto"/>
            <w:hideMark/>
          </w:tcPr>
          <w:p w14:paraId="12EAFB00" w14:textId="11E1D030"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5BABED7D" w14:textId="27F42CBD"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6DC2C0FB" w14:textId="0303AA9E"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r>
      <w:tr w:rsidR="00191D48" w:rsidRPr="00747C83" w14:paraId="7D88ABEA" w14:textId="77777777" w:rsidTr="00FB2503">
        <w:trPr>
          <w:trHeight w:val="300"/>
          <w:jc w:val="center"/>
        </w:trPr>
        <w:tc>
          <w:tcPr>
            <w:tcW w:w="1694" w:type="dxa"/>
            <w:vMerge/>
            <w:tcBorders>
              <w:top w:val="nil"/>
              <w:left w:val="single" w:sz="8" w:space="0" w:color="000000"/>
              <w:bottom w:val="single" w:sz="4" w:space="0" w:color="000000"/>
              <w:right w:val="single" w:sz="4" w:space="0" w:color="000000"/>
            </w:tcBorders>
            <w:vAlign w:val="center"/>
            <w:hideMark/>
          </w:tcPr>
          <w:p w14:paraId="30D805CA" w14:textId="77777777" w:rsidR="00191D48" w:rsidRPr="003C108C" w:rsidRDefault="00191D48" w:rsidP="00191D48">
            <w:pPr>
              <w:spacing w:after="0" w:line="240" w:lineRule="auto"/>
              <w:ind w:right="-568" w:hanging="792"/>
              <w:rPr>
                <w:rFonts w:asciiTheme="minorHAnsi" w:eastAsia="Times New Roman" w:hAnsiTheme="minorHAnsi" w:cstheme="minorHAnsi"/>
                <w:b/>
                <w:bCs/>
                <w:color w:val="FFFFFF"/>
                <w:sz w:val="18"/>
                <w:szCs w:val="18"/>
                <w:lang w:eastAsia="pt-BR"/>
              </w:rPr>
            </w:pPr>
          </w:p>
        </w:tc>
        <w:tc>
          <w:tcPr>
            <w:tcW w:w="3345" w:type="dxa"/>
            <w:tcBorders>
              <w:top w:val="nil"/>
              <w:left w:val="nil"/>
              <w:bottom w:val="nil"/>
              <w:right w:val="single" w:sz="4" w:space="0" w:color="000000"/>
            </w:tcBorders>
            <w:shd w:val="clear" w:color="auto" w:fill="auto"/>
            <w:vAlign w:val="center"/>
            <w:hideMark/>
          </w:tcPr>
          <w:p w14:paraId="6A62F58A" w14:textId="71E52CA8"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FI Mercado de Acesso</w:t>
            </w:r>
          </w:p>
        </w:tc>
        <w:tc>
          <w:tcPr>
            <w:tcW w:w="1472" w:type="dxa"/>
            <w:tcBorders>
              <w:top w:val="nil"/>
              <w:left w:val="nil"/>
              <w:bottom w:val="nil"/>
              <w:right w:val="single" w:sz="4" w:space="0" w:color="000000"/>
            </w:tcBorders>
            <w:shd w:val="clear" w:color="auto" w:fill="auto"/>
            <w:vAlign w:val="center"/>
            <w:hideMark/>
          </w:tcPr>
          <w:p w14:paraId="7172A332"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10, III</w:t>
            </w:r>
          </w:p>
        </w:tc>
        <w:tc>
          <w:tcPr>
            <w:tcW w:w="1134" w:type="dxa"/>
            <w:tcBorders>
              <w:top w:val="nil"/>
              <w:left w:val="nil"/>
              <w:bottom w:val="nil"/>
              <w:right w:val="single" w:sz="4" w:space="0" w:color="000000"/>
            </w:tcBorders>
            <w:shd w:val="clear" w:color="auto" w:fill="auto"/>
            <w:vAlign w:val="center"/>
            <w:hideMark/>
          </w:tcPr>
          <w:p w14:paraId="55EB9CDD"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5,00%</w:t>
            </w:r>
          </w:p>
        </w:tc>
        <w:tc>
          <w:tcPr>
            <w:tcW w:w="1701" w:type="dxa"/>
            <w:tcBorders>
              <w:top w:val="nil"/>
              <w:left w:val="nil"/>
              <w:bottom w:val="nil"/>
              <w:right w:val="single" w:sz="4" w:space="0" w:color="000000"/>
            </w:tcBorders>
            <w:shd w:val="clear" w:color="auto" w:fill="auto"/>
            <w:hideMark/>
          </w:tcPr>
          <w:p w14:paraId="5778C421" w14:textId="5651C45A"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nil"/>
              <w:right w:val="single" w:sz="4" w:space="0" w:color="000000"/>
            </w:tcBorders>
            <w:shd w:val="clear" w:color="auto" w:fill="auto"/>
            <w:hideMark/>
          </w:tcPr>
          <w:p w14:paraId="4F0918C7" w14:textId="0782C538"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0,00%</w:t>
            </w:r>
          </w:p>
        </w:tc>
        <w:tc>
          <w:tcPr>
            <w:tcW w:w="2126" w:type="dxa"/>
            <w:tcBorders>
              <w:top w:val="nil"/>
              <w:left w:val="nil"/>
              <w:bottom w:val="nil"/>
              <w:right w:val="single" w:sz="8" w:space="0" w:color="000000"/>
            </w:tcBorders>
            <w:shd w:val="clear" w:color="auto" w:fill="auto"/>
            <w:hideMark/>
          </w:tcPr>
          <w:p w14:paraId="2B086EA0" w14:textId="45780384"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r>
      <w:tr w:rsidR="00191D48" w:rsidRPr="00747C83" w14:paraId="2919BD68" w14:textId="77777777" w:rsidTr="00FB2503">
        <w:trPr>
          <w:trHeight w:val="300"/>
          <w:jc w:val="center"/>
        </w:trPr>
        <w:tc>
          <w:tcPr>
            <w:tcW w:w="1694" w:type="dxa"/>
            <w:tcBorders>
              <w:top w:val="single" w:sz="8" w:space="0" w:color="000000"/>
              <w:left w:val="single" w:sz="8" w:space="0" w:color="000000"/>
              <w:bottom w:val="single" w:sz="8" w:space="0" w:color="000000"/>
              <w:right w:val="single" w:sz="4" w:space="0" w:color="000000"/>
            </w:tcBorders>
            <w:shd w:val="clear" w:color="000000" w:fill="195689"/>
            <w:noWrap/>
            <w:vAlign w:val="bottom"/>
            <w:hideMark/>
          </w:tcPr>
          <w:p w14:paraId="7F382E42" w14:textId="77777777" w:rsidR="00191D48" w:rsidRPr="003C108C" w:rsidRDefault="00191D48" w:rsidP="00191D48">
            <w:pPr>
              <w:spacing w:after="0" w:line="240" w:lineRule="auto"/>
              <w:ind w:right="-568" w:hanging="367"/>
              <w:jc w:val="center"/>
              <w:rPr>
                <w:rFonts w:asciiTheme="minorHAnsi" w:eastAsia="Times New Roman" w:hAnsiTheme="minorHAnsi" w:cstheme="minorHAnsi"/>
                <w:b/>
                <w:bCs/>
                <w:color w:val="FFFFFF"/>
                <w:sz w:val="18"/>
                <w:szCs w:val="18"/>
                <w:lang w:eastAsia="pt-BR"/>
              </w:rPr>
            </w:pPr>
            <w:r w:rsidRPr="003C108C">
              <w:rPr>
                <w:rFonts w:asciiTheme="minorHAnsi" w:eastAsia="Times New Roman" w:hAnsiTheme="minorHAnsi" w:cstheme="minorHAnsi"/>
                <w:b/>
                <w:bCs/>
                <w:color w:val="FFFFFF"/>
                <w:sz w:val="18"/>
                <w:szCs w:val="18"/>
                <w:lang w:eastAsia="pt-BR"/>
              </w:rPr>
              <w:t>IMOBILIARIO</w:t>
            </w:r>
          </w:p>
        </w:tc>
        <w:tc>
          <w:tcPr>
            <w:tcW w:w="3345" w:type="dxa"/>
            <w:tcBorders>
              <w:top w:val="single" w:sz="8" w:space="0" w:color="000000"/>
              <w:left w:val="nil"/>
              <w:bottom w:val="single" w:sz="8" w:space="0" w:color="000000"/>
              <w:right w:val="single" w:sz="4" w:space="0" w:color="000000"/>
            </w:tcBorders>
            <w:shd w:val="clear" w:color="auto" w:fill="auto"/>
            <w:vAlign w:val="center"/>
            <w:hideMark/>
          </w:tcPr>
          <w:p w14:paraId="29539CBA"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FI Imobiliários</w:t>
            </w:r>
          </w:p>
        </w:tc>
        <w:tc>
          <w:tcPr>
            <w:tcW w:w="1472" w:type="dxa"/>
            <w:tcBorders>
              <w:top w:val="single" w:sz="8" w:space="0" w:color="000000"/>
              <w:left w:val="nil"/>
              <w:bottom w:val="single" w:sz="8" w:space="0" w:color="000000"/>
              <w:right w:val="single" w:sz="4" w:space="0" w:color="000000"/>
            </w:tcBorders>
            <w:shd w:val="clear" w:color="auto" w:fill="auto"/>
            <w:vAlign w:val="center"/>
            <w:hideMark/>
          </w:tcPr>
          <w:p w14:paraId="07B06410"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11</w:t>
            </w:r>
          </w:p>
        </w:tc>
        <w:tc>
          <w:tcPr>
            <w:tcW w:w="1134" w:type="dxa"/>
            <w:tcBorders>
              <w:top w:val="single" w:sz="8" w:space="0" w:color="000000"/>
              <w:left w:val="nil"/>
              <w:bottom w:val="single" w:sz="8" w:space="0" w:color="000000"/>
              <w:right w:val="single" w:sz="4" w:space="0" w:color="000000"/>
            </w:tcBorders>
            <w:shd w:val="clear" w:color="auto" w:fill="auto"/>
            <w:vAlign w:val="center"/>
            <w:hideMark/>
          </w:tcPr>
          <w:p w14:paraId="14FB8126"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5,00%</w:t>
            </w:r>
          </w:p>
        </w:tc>
        <w:tc>
          <w:tcPr>
            <w:tcW w:w="1701" w:type="dxa"/>
            <w:tcBorders>
              <w:top w:val="single" w:sz="8" w:space="0" w:color="000000"/>
              <w:left w:val="nil"/>
              <w:bottom w:val="single" w:sz="8" w:space="0" w:color="000000"/>
              <w:right w:val="single" w:sz="4" w:space="0" w:color="000000"/>
            </w:tcBorders>
            <w:shd w:val="clear" w:color="auto" w:fill="auto"/>
            <w:hideMark/>
          </w:tcPr>
          <w:p w14:paraId="227533C8" w14:textId="3CADF7D2"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single" w:sz="8" w:space="0" w:color="000000"/>
              <w:left w:val="nil"/>
              <w:bottom w:val="single" w:sz="8" w:space="0" w:color="000000"/>
              <w:right w:val="single" w:sz="4" w:space="0" w:color="000000"/>
            </w:tcBorders>
            <w:shd w:val="clear" w:color="auto" w:fill="auto"/>
            <w:hideMark/>
          </w:tcPr>
          <w:p w14:paraId="05503EE6" w14:textId="7D972664"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0,00%</w:t>
            </w:r>
          </w:p>
        </w:tc>
        <w:tc>
          <w:tcPr>
            <w:tcW w:w="2126" w:type="dxa"/>
            <w:tcBorders>
              <w:top w:val="single" w:sz="8" w:space="0" w:color="000000"/>
              <w:left w:val="nil"/>
              <w:bottom w:val="single" w:sz="8" w:space="0" w:color="000000"/>
              <w:right w:val="single" w:sz="8" w:space="0" w:color="000000"/>
            </w:tcBorders>
            <w:shd w:val="clear" w:color="auto" w:fill="auto"/>
            <w:hideMark/>
          </w:tcPr>
          <w:p w14:paraId="7289BCB7" w14:textId="3020B823"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r>
      <w:tr w:rsidR="00191D48" w:rsidRPr="00747C83" w14:paraId="4BD8480D" w14:textId="77777777" w:rsidTr="00FB2503">
        <w:trPr>
          <w:trHeight w:val="300"/>
          <w:jc w:val="center"/>
        </w:trPr>
        <w:tc>
          <w:tcPr>
            <w:tcW w:w="1694" w:type="dxa"/>
            <w:tcBorders>
              <w:top w:val="nil"/>
              <w:left w:val="single" w:sz="8" w:space="0" w:color="000000"/>
              <w:bottom w:val="single" w:sz="8" w:space="0" w:color="000000"/>
              <w:right w:val="single" w:sz="4" w:space="0" w:color="000000"/>
            </w:tcBorders>
            <w:shd w:val="clear" w:color="000000" w:fill="195689"/>
            <w:noWrap/>
            <w:vAlign w:val="bottom"/>
            <w:hideMark/>
          </w:tcPr>
          <w:p w14:paraId="5B83FB3F" w14:textId="77777777" w:rsidR="00191D48" w:rsidRPr="003C108C" w:rsidRDefault="00191D48" w:rsidP="00191D48">
            <w:pPr>
              <w:spacing w:after="0" w:line="240" w:lineRule="auto"/>
              <w:ind w:right="-568" w:hanging="367"/>
              <w:jc w:val="center"/>
              <w:rPr>
                <w:rFonts w:asciiTheme="minorHAnsi" w:eastAsia="Times New Roman" w:hAnsiTheme="minorHAnsi" w:cstheme="minorHAnsi"/>
                <w:b/>
                <w:bCs/>
                <w:color w:val="FFFFFF"/>
                <w:sz w:val="18"/>
                <w:szCs w:val="18"/>
                <w:lang w:eastAsia="pt-BR"/>
              </w:rPr>
            </w:pPr>
            <w:r w:rsidRPr="003C108C">
              <w:rPr>
                <w:rFonts w:asciiTheme="minorHAnsi" w:eastAsia="Times New Roman" w:hAnsiTheme="minorHAnsi" w:cstheme="minorHAnsi"/>
                <w:b/>
                <w:bCs/>
                <w:color w:val="FFFFFF"/>
                <w:sz w:val="18"/>
                <w:szCs w:val="18"/>
                <w:lang w:eastAsia="pt-BR"/>
              </w:rPr>
              <w:lastRenderedPageBreak/>
              <w:t>CONSIGNADO</w:t>
            </w:r>
          </w:p>
        </w:tc>
        <w:tc>
          <w:tcPr>
            <w:tcW w:w="3345" w:type="dxa"/>
            <w:tcBorders>
              <w:top w:val="nil"/>
              <w:left w:val="nil"/>
              <w:bottom w:val="single" w:sz="8" w:space="0" w:color="000000"/>
              <w:right w:val="single" w:sz="4" w:space="0" w:color="000000"/>
            </w:tcBorders>
            <w:shd w:val="clear" w:color="auto" w:fill="auto"/>
            <w:vAlign w:val="center"/>
            <w:hideMark/>
          </w:tcPr>
          <w:p w14:paraId="714A9020"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Empréstimos consignado</w:t>
            </w:r>
          </w:p>
        </w:tc>
        <w:tc>
          <w:tcPr>
            <w:tcW w:w="1472" w:type="dxa"/>
            <w:tcBorders>
              <w:top w:val="nil"/>
              <w:left w:val="nil"/>
              <w:bottom w:val="single" w:sz="8" w:space="0" w:color="000000"/>
              <w:right w:val="single" w:sz="4" w:space="0" w:color="000000"/>
            </w:tcBorders>
            <w:shd w:val="clear" w:color="auto" w:fill="auto"/>
            <w:vAlign w:val="center"/>
            <w:hideMark/>
          </w:tcPr>
          <w:p w14:paraId="54881F93"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Art. 12</w:t>
            </w:r>
          </w:p>
        </w:tc>
        <w:tc>
          <w:tcPr>
            <w:tcW w:w="1134" w:type="dxa"/>
            <w:tcBorders>
              <w:top w:val="nil"/>
              <w:left w:val="nil"/>
              <w:bottom w:val="single" w:sz="8" w:space="0" w:color="000000"/>
              <w:right w:val="single" w:sz="4" w:space="0" w:color="000000"/>
            </w:tcBorders>
            <w:shd w:val="clear" w:color="auto" w:fill="auto"/>
            <w:vAlign w:val="center"/>
            <w:hideMark/>
          </w:tcPr>
          <w:p w14:paraId="05301F4D" w14:textId="77777777"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5,00%</w:t>
            </w:r>
          </w:p>
        </w:tc>
        <w:tc>
          <w:tcPr>
            <w:tcW w:w="1701" w:type="dxa"/>
            <w:tcBorders>
              <w:top w:val="nil"/>
              <w:left w:val="nil"/>
              <w:bottom w:val="single" w:sz="8" w:space="0" w:color="000000"/>
              <w:right w:val="single" w:sz="4" w:space="0" w:color="000000"/>
            </w:tcBorders>
            <w:shd w:val="clear" w:color="auto" w:fill="auto"/>
            <w:hideMark/>
          </w:tcPr>
          <w:p w14:paraId="79DBB36D" w14:textId="6B2CBDF3"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c>
          <w:tcPr>
            <w:tcW w:w="1701" w:type="dxa"/>
            <w:tcBorders>
              <w:top w:val="nil"/>
              <w:left w:val="nil"/>
              <w:bottom w:val="single" w:sz="8" w:space="0" w:color="000000"/>
              <w:right w:val="single" w:sz="4" w:space="0" w:color="000000"/>
            </w:tcBorders>
            <w:shd w:val="clear" w:color="auto" w:fill="auto"/>
            <w:hideMark/>
          </w:tcPr>
          <w:p w14:paraId="7C7F50F5" w14:textId="283517BE"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sz w:val="18"/>
                <w:szCs w:val="18"/>
              </w:rPr>
              <w:t>0,00%</w:t>
            </w:r>
          </w:p>
        </w:tc>
        <w:tc>
          <w:tcPr>
            <w:tcW w:w="2126" w:type="dxa"/>
            <w:tcBorders>
              <w:top w:val="nil"/>
              <w:left w:val="nil"/>
              <w:bottom w:val="single" w:sz="8" w:space="0" w:color="000000"/>
              <w:right w:val="single" w:sz="8" w:space="0" w:color="000000"/>
            </w:tcBorders>
            <w:shd w:val="clear" w:color="auto" w:fill="auto"/>
            <w:hideMark/>
          </w:tcPr>
          <w:p w14:paraId="3B51CAA7" w14:textId="5574DB4E" w:rsidR="00191D48" w:rsidRPr="003C108C" w:rsidRDefault="00191D48" w:rsidP="00191D48">
            <w:pPr>
              <w:spacing w:after="0" w:line="240" w:lineRule="auto"/>
              <w:ind w:right="-568"/>
              <w:rPr>
                <w:rFonts w:asciiTheme="minorHAnsi" w:eastAsia="Times New Roman" w:hAnsiTheme="minorHAnsi" w:cstheme="minorHAnsi"/>
                <w:color w:val="000000"/>
                <w:sz w:val="18"/>
                <w:szCs w:val="18"/>
                <w:lang w:eastAsia="pt-BR"/>
              </w:rPr>
            </w:pPr>
            <w:r w:rsidRPr="003C108C">
              <w:rPr>
                <w:rFonts w:asciiTheme="minorHAnsi" w:eastAsia="Times New Roman" w:hAnsiTheme="minorHAnsi" w:cstheme="minorHAnsi"/>
                <w:color w:val="000000"/>
                <w:sz w:val="18"/>
                <w:szCs w:val="18"/>
                <w:lang w:eastAsia="pt-BR"/>
              </w:rPr>
              <w:t>0,00%</w:t>
            </w:r>
          </w:p>
        </w:tc>
      </w:tr>
      <w:tr w:rsidR="00A70CFA" w:rsidRPr="00747C83" w14:paraId="14BBBC62" w14:textId="77777777" w:rsidTr="00FB2503">
        <w:trPr>
          <w:trHeight w:val="300"/>
          <w:jc w:val="center"/>
        </w:trPr>
        <w:tc>
          <w:tcPr>
            <w:tcW w:w="7645" w:type="dxa"/>
            <w:gridSpan w:val="4"/>
            <w:tcBorders>
              <w:top w:val="single" w:sz="8" w:space="0" w:color="000000"/>
              <w:left w:val="single" w:sz="8" w:space="0" w:color="000000"/>
              <w:bottom w:val="single" w:sz="4" w:space="0" w:color="auto"/>
              <w:right w:val="single" w:sz="4" w:space="0" w:color="000000"/>
            </w:tcBorders>
            <w:shd w:val="clear" w:color="000000" w:fill="AEAAAA"/>
            <w:vAlign w:val="center"/>
            <w:hideMark/>
          </w:tcPr>
          <w:p w14:paraId="4350FD54" w14:textId="333A5413" w:rsidR="00A70CFA" w:rsidRPr="003C108C" w:rsidRDefault="00A70CFA" w:rsidP="00225CEC">
            <w:pPr>
              <w:spacing w:after="0" w:line="240" w:lineRule="auto"/>
              <w:ind w:right="-568" w:hanging="1209"/>
              <w:jc w:val="center"/>
              <w:rPr>
                <w:rFonts w:asciiTheme="minorHAnsi" w:eastAsia="Times New Roman" w:hAnsiTheme="minorHAnsi" w:cstheme="minorHAnsi"/>
                <w:b/>
                <w:bCs/>
                <w:color w:val="000000"/>
                <w:sz w:val="18"/>
                <w:szCs w:val="18"/>
                <w:lang w:eastAsia="pt-BR"/>
              </w:rPr>
            </w:pPr>
            <w:r w:rsidRPr="003C108C">
              <w:rPr>
                <w:rFonts w:asciiTheme="minorHAnsi" w:eastAsia="Times New Roman" w:hAnsiTheme="minorHAnsi" w:cstheme="minorHAnsi"/>
                <w:b/>
                <w:bCs/>
                <w:color w:val="000000"/>
                <w:sz w:val="18"/>
                <w:szCs w:val="18"/>
                <w:lang w:eastAsia="pt-BR"/>
              </w:rPr>
              <w:t>TOTAL GERAL DOS INVESTIMENTOS</w:t>
            </w:r>
          </w:p>
        </w:tc>
        <w:tc>
          <w:tcPr>
            <w:tcW w:w="1701" w:type="dxa"/>
            <w:tcBorders>
              <w:top w:val="nil"/>
              <w:left w:val="nil"/>
              <w:bottom w:val="single" w:sz="4" w:space="0" w:color="auto"/>
              <w:right w:val="single" w:sz="4" w:space="0" w:color="000000"/>
            </w:tcBorders>
            <w:shd w:val="clear" w:color="000000" w:fill="AEAAAA"/>
            <w:vAlign w:val="center"/>
            <w:hideMark/>
          </w:tcPr>
          <w:p w14:paraId="3A632A23" w14:textId="4D7BF1A1" w:rsidR="00A70CFA" w:rsidRPr="003C108C" w:rsidRDefault="00A70CFA" w:rsidP="00225CEC">
            <w:pPr>
              <w:spacing w:after="0" w:line="240" w:lineRule="auto"/>
              <w:ind w:right="-568" w:hanging="1209"/>
              <w:jc w:val="center"/>
              <w:rPr>
                <w:rFonts w:asciiTheme="minorHAnsi" w:eastAsia="Times New Roman" w:hAnsiTheme="minorHAnsi" w:cstheme="minorHAnsi"/>
                <w:b/>
                <w:bCs/>
                <w:color w:val="000000"/>
                <w:sz w:val="18"/>
                <w:szCs w:val="18"/>
                <w:lang w:eastAsia="pt-BR"/>
              </w:rPr>
            </w:pPr>
          </w:p>
        </w:tc>
        <w:tc>
          <w:tcPr>
            <w:tcW w:w="1701" w:type="dxa"/>
            <w:tcBorders>
              <w:top w:val="nil"/>
              <w:left w:val="nil"/>
              <w:bottom w:val="single" w:sz="4" w:space="0" w:color="auto"/>
              <w:right w:val="single" w:sz="4" w:space="0" w:color="000000"/>
            </w:tcBorders>
            <w:shd w:val="clear" w:color="000000" w:fill="AEAAAA"/>
            <w:vAlign w:val="center"/>
            <w:hideMark/>
          </w:tcPr>
          <w:p w14:paraId="09545670" w14:textId="1409635E" w:rsidR="00A70CFA" w:rsidRPr="003C108C" w:rsidRDefault="00D06393" w:rsidP="00225CEC">
            <w:pPr>
              <w:spacing w:after="0" w:line="240" w:lineRule="auto"/>
              <w:ind w:right="-568" w:hanging="1209"/>
              <w:jc w:val="center"/>
              <w:rPr>
                <w:rFonts w:asciiTheme="minorHAnsi" w:eastAsia="Times New Roman" w:hAnsiTheme="minorHAnsi" w:cstheme="minorHAnsi"/>
                <w:b/>
                <w:bCs/>
                <w:color w:val="000000"/>
                <w:sz w:val="18"/>
                <w:szCs w:val="18"/>
                <w:lang w:eastAsia="pt-BR"/>
              </w:rPr>
            </w:pPr>
            <w:r w:rsidRPr="003C108C">
              <w:rPr>
                <w:rFonts w:asciiTheme="minorHAnsi" w:eastAsia="Times New Roman" w:hAnsiTheme="minorHAnsi" w:cstheme="minorHAnsi"/>
                <w:b/>
                <w:bCs/>
                <w:color w:val="000000"/>
                <w:sz w:val="18"/>
                <w:szCs w:val="18"/>
                <w:lang w:eastAsia="pt-BR"/>
              </w:rPr>
              <w:t>100%</w:t>
            </w:r>
            <w:r w:rsidR="00A70CFA" w:rsidRPr="003C108C">
              <w:rPr>
                <w:rFonts w:asciiTheme="minorHAnsi" w:eastAsia="Times New Roman" w:hAnsiTheme="minorHAnsi" w:cstheme="minorHAnsi"/>
                <w:b/>
                <w:bCs/>
                <w:color w:val="000000"/>
                <w:sz w:val="18"/>
                <w:szCs w:val="18"/>
                <w:lang w:eastAsia="pt-BR"/>
              </w:rPr>
              <w:t> </w:t>
            </w:r>
          </w:p>
        </w:tc>
        <w:tc>
          <w:tcPr>
            <w:tcW w:w="2126" w:type="dxa"/>
            <w:tcBorders>
              <w:top w:val="nil"/>
              <w:left w:val="nil"/>
              <w:bottom w:val="single" w:sz="4" w:space="0" w:color="auto"/>
              <w:right w:val="single" w:sz="8" w:space="0" w:color="000000"/>
            </w:tcBorders>
            <w:shd w:val="clear" w:color="000000" w:fill="AEAAAA"/>
            <w:vAlign w:val="center"/>
            <w:hideMark/>
          </w:tcPr>
          <w:p w14:paraId="0384B260" w14:textId="26F18EAC" w:rsidR="00A70CFA" w:rsidRPr="003C108C" w:rsidRDefault="00A70CFA" w:rsidP="00225CEC">
            <w:pPr>
              <w:spacing w:after="0" w:line="240" w:lineRule="auto"/>
              <w:ind w:right="-568" w:hanging="1209"/>
              <w:jc w:val="center"/>
              <w:rPr>
                <w:rFonts w:asciiTheme="minorHAnsi" w:eastAsia="Times New Roman" w:hAnsiTheme="minorHAnsi" w:cstheme="minorHAnsi"/>
                <w:b/>
                <w:bCs/>
                <w:color w:val="000000"/>
                <w:sz w:val="18"/>
                <w:szCs w:val="18"/>
                <w:lang w:eastAsia="pt-BR"/>
              </w:rPr>
            </w:pPr>
          </w:p>
        </w:tc>
      </w:tr>
      <w:tr w:rsidR="00AE689F" w:rsidRPr="00747C83" w14:paraId="74446536" w14:textId="77777777" w:rsidTr="00530440">
        <w:trPr>
          <w:trHeight w:val="350"/>
          <w:jc w:val="center"/>
        </w:trPr>
        <w:tc>
          <w:tcPr>
            <w:tcW w:w="13173" w:type="dxa"/>
            <w:gridSpan w:val="7"/>
            <w:tcBorders>
              <w:top w:val="single" w:sz="8" w:space="0" w:color="000000"/>
              <w:left w:val="single" w:sz="8" w:space="0" w:color="000000"/>
              <w:bottom w:val="single" w:sz="4" w:space="0" w:color="000000"/>
              <w:right w:val="single" w:sz="8" w:space="0" w:color="000000"/>
            </w:tcBorders>
            <w:shd w:val="clear" w:color="000000" w:fill="DEA900"/>
            <w:noWrap/>
            <w:vAlign w:val="center"/>
            <w:hideMark/>
          </w:tcPr>
          <w:p w14:paraId="7BB89BF8" w14:textId="053CA855" w:rsidR="00AE689F" w:rsidRPr="003C108C" w:rsidRDefault="00AE689F" w:rsidP="00B03275">
            <w:pPr>
              <w:spacing w:after="0" w:line="240" w:lineRule="auto"/>
              <w:ind w:right="-568" w:firstLine="851"/>
              <w:jc w:val="center"/>
              <w:rPr>
                <w:rFonts w:asciiTheme="minorHAnsi" w:eastAsia="Times New Roman" w:hAnsiTheme="minorHAnsi" w:cstheme="minorHAnsi"/>
                <w:b/>
                <w:bCs/>
                <w:color w:val="000000"/>
                <w:sz w:val="16"/>
                <w:szCs w:val="16"/>
                <w:lang w:eastAsia="pt-BR"/>
              </w:rPr>
            </w:pPr>
            <w:r w:rsidRPr="003C108C">
              <w:rPr>
                <w:rFonts w:asciiTheme="minorHAnsi" w:eastAsia="Times New Roman" w:hAnsiTheme="minorHAnsi" w:cstheme="minorHAnsi"/>
                <w:b/>
                <w:bCs/>
                <w:color w:val="000000"/>
                <w:sz w:val="16"/>
                <w:szCs w:val="16"/>
                <w:lang w:eastAsia="pt-BR"/>
              </w:rPr>
              <w:t>ALOCAÇÃO ESTRATEGICA PARA OS PRÓXIMOS 5 ANOS</w:t>
            </w:r>
          </w:p>
        </w:tc>
      </w:tr>
      <w:tr w:rsidR="00AE689F" w:rsidRPr="00747C83" w14:paraId="09BD0CD2" w14:textId="77777777" w:rsidTr="005D38D0">
        <w:trPr>
          <w:trHeight w:val="350"/>
          <w:jc w:val="center"/>
        </w:trPr>
        <w:tc>
          <w:tcPr>
            <w:tcW w:w="1694" w:type="dxa"/>
            <w:vMerge w:val="restart"/>
            <w:tcBorders>
              <w:top w:val="nil"/>
              <w:left w:val="single" w:sz="8" w:space="0" w:color="000000"/>
              <w:bottom w:val="single" w:sz="4" w:space="0" w:color="000000"/>
              <w:right w:val="single" w:sz="4" w:space="0" w:color="000000"/>
            </w:tcBorders>
            <w:shd w:val="clear" w:color="000000" w:fill="195689"/>
            <w:noWrap/>
            <w:vAlign w:val="center"/>
            <w:hideMark/>
          </w:tcPr>
          <w:p w14:paraId="7EEBCD03" w14:textId="77777777" w:rsidR="00AE689F" w:rsidRPr="00747C83" w:rsidRDefault="00AE689F" w:rsidP="005D38D0">
            <w:pPr>
              <w:spacing w:after="0" w:line="240" w:lineRule="auto"/>
              <w:ind w:right="-568" w:hanging="509"/>
              <w:jc w:val="center"/>
              <w:rPr>
                <w:rFonts w:asciiTheme="minorHAnsi" w:eastAsia="Times New Roman" w:hAnsiTheme="minorHAnsi" w:cstheme="minorHAnsi"/>
                <w:b/>
                <w:bCs/>
                <w:color w:val="FFFFFF"/>
                <w:lang w:eastAsia="pt-BR"/>
              </w:rPr>
            </w:pPr>
            <w:r w:rsidRPr="00747C83">
              <w:rPr>
                <w:rFonts w:asciiTheme="minorHAnsi" w:eastAsia="Times New Roman" w:hAnsiTheme="minorHAnsi" w:cstheme="minorHAnsi"/>
                <w:b/>
                <w:bCs/>
                <w:color w:val="FFFFFF"/>
                <w:lang w:eastAsia="pt-BR"/>
              </w:rPr>
              <w:t>SEGMENTO</w:t>
            </w:r>
          </w:p>
        </w:tc>
        <w:tc>
          <w:tcPr>
            <w:tcW w:w="4817" w:type="dxa"/>
            <w:gridSpan w:val="2"/>
            <w:vMerge w:val="restart"/>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14:paraId="3724EACB" w14:textId="77777777" w:rsidR="00AE689F" w:rsidRPr="00747C83" w:rsidRDefault="00AE689F" w:rsidP="00B03275">
            <w:pPr>
              <w:spacing w:after="0" w:line="240" w:lineRule="auto"/>
              <w:ind w:right="-568" w:firstLine="851"/>
              <w:jc w:val="center"/>
              <w:rPr>
                <w:rFonts w:asciiTheme="minorHAnsi" w:eastAsia="Times New Roman" w:hAnsiTheme="minorHAnsi" w:cstheme="minorHAnsi"/>
                <w:b/>
                <w:bCs/>
                <w:sz w:val="20"/>
                <w:szCs w:val="20"/>
                <w:lang w:eastAsia="pt-BR"/>
              </w:rPr>
            </w:pPr>
            <w:r w:rsidRPr="00747C83">
              <w:rPr>
                <w:rFonts w:asciiTheme="minorHAnsi" w:eastAsia="Times New Roman" w:hAnsiTheme="minorHAnsi" w:cstheme="minorHAnsi"/>
                <w:b/>
                <w:bCs/>
                <w:sz w:val="20"/>
                <w:szCs w:val="20"/>
                <w:lang w:eastAsia="pt-BR"/>
              </w:rPr>
              <w:t>ATIVO</w:t>
            </w:r>
          </w:p>
        </w:tc>
        <w:tc>
          <w:tcPr>
            <w:tcW w:w="6662" w:type="dxa"/>
            <w:gridSpan w:val="4"/>
            <w:tcBorders>
              <w:top w:val="single" w:sz="4" w:space="0" w:color="000000"/>
              <w:left w:val="nil"/>
              <w:bottom w:val="single" w:sz="4" w:space="0" w:color="000000"/>
              <w:right w:val="single" w:sz="8" w:space="0" w:color="000000"/>
            </w:tcBorders>
            <w:shd w:val="clear" w:color="000000" w:fill="D9D9D9"/>
            <w:vAlign w:val="center"/>
            <w:hideMark/>
          </w:tcPr>
          <w:p w14:paraId="1E504D95" w14:textId="77777777" w:rsidR="00AE689F" w:rsidRPr="00747C83" w:rsidRDefault="00AE689F" w:rsidP="00B03275">
            <w:pPr>
              <w:spacing w:after="0" w:line="240" w:lineRule="auto"/>
              <w:ind w:right="-568" w:firstLine="851"/>
              <w:jc w:val="center"/>
              <w:rPr>
                <w:rFonts w:asciiTheme="minorHAnsi" w:eastAsia="Times New Roman" w:hAnsiTheme="minorHAnsi" w:cstheme="minorHAnsi"/>
                <w:b/>
                <w:bCs/>
                <w:sz w:val="20"/>
                <w:szCs w:val="20"/>
                <w:lang w:eastAsia="pt-BR"/>
              </w:rPr>
            </w:pPr>
            <w:r w:rsidRPr="00747C83">
              <w:rPr>
                <w:rFonts w:asciiTheme="minorHAnsi" w:eastAsia="Times New Roman" w:hAnsiTheme="minorHAnsi" w:cstheme="minorHAnsi"/>
                <w:b/>
                <w:bCs/>
                <w:sz w:val="20"/>
                <w:szCs w:val="20"/>
                <w:lang w:eastAsia="pt-BR"/>
              </w:rPr>
              <w:t>Alocação dos Recursos</w:t>
            </w:r>
          </w:p>
        </w:tc>
      </w:tr>
      <w:tr w:rsidR="00AE689F" w:rsidRPr="00747C83" w14:paraId="651C2996" w14:textId="77777777" w:rsidTr="00FB2503">
        <w:trPr>
          <w:trHeight w:val="579"/>
          <w:jc w:val="center"/>
        </w:trPr>
        <w:tc>
          <w:tcPr>
            <w:tcW w:w="1694" w:type="dxa"/>
            <w:vMerge/>
            <w:tcBorders>
              <w:top w:val="nil"/>
              <w:left w:val="single" w:sz="8" w:space="0" w:color="000000"/>
              <w:bottom w:val="single" w:sz="4" w:space="0" w:color="000000"/>
              <w:right w:val="single" w:sz="4" w:space="0" w:color="000000"/>
            </w:tcBorders>
            <w:vAlign w:val="center"/>
            <w:hideMark/>
          </w:tcPr>
          <w:p w14:paraId="34A196E7" w14:textId="77777777" w:rsidR="00AE689F" w:rsidRPr="00747C83" w:rsidRDefault="00AE689F" w:rsidP="005D38D0">
            <w:pPr>
              <w:spacing w:after="0" w:line="240" w:lineRule="auto"/>
              <w:ind w:right="-568" w:hanging="509"/>
              <w:rPr>
                <w:rFonts w:asciiTheme="minorHAnsi" w:eastAsia="Times New Roman" w:hAnsiTheme="minorHAnsi" w:cstheme="minorHAnsi"/>
                <w:b/>
                <w:bCs/>
                <w:color w:val="FFFFFF"/>
                <w:lang w:eastAsia="pt-BR"/>
              </w:rPr>
            </w:pPr>
          </w:p>
        </w:tc>
        <w:tc>
          <w:tcPr>
            <w:tcW w:w="4817" w:type="dxa"/>
            <w:gridSpan w:val="2"/>
            <w:vMerge/>
            <w:tcBorders>
              <w:top w:val="single" w:sz="4" w:space="0" w:color="000000"/>
              <w:left w:val="single" w:sz="4" w:space="0" w:color="000000"/>
              <w:bottom w:val="single" w:sz="4" w:space="0" w:color="000000"/>
              <w:right w:val="single" w:sz="4" w:space="0" w:color="000000"/>
            </w:tcBorders>
            <w:vAlign w:val="center"/>
            <w:hideMark/>
          </w:tcPr>
          <w:p w14:paraId="3626E1C1" w14:textId="77777777" w:rsidR="00AE689F" w:rsidRPr="00747C83" w:rsidRDefault="00AE689F" w:rsidP="00B03275">
            <w:pPr>
              <w:spacing w:after="0" w:line="240" w:lineRule="auto"/>
              <w:ind w:right="-568" w:firstLine="851"/>
              <w:rPr>
                <w:rFonts w:asciiTheme="minorHAnsi" w:eastAsia="Times New Roman" w:hAnsiTheme="minorHAnsi" w:cstheme="minorHAnsi"/>
                <w:b/>
                <w:bCs/>
                <w:sz w:val="20"/>
                <w:szCs w:val="20"/>
                <w:lang w:eastAsia="pt-BR"/>
              </w:rPr>
            </w:pPr>
          </w:p>
        </w:tc>
        <w:tc>
          <w:tcPr>
            <w:tcW w:w="113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6072362" w14:textId="77777777" w:rsidR="005D38D0" w:rsidRDefault="00AE689F" w:rsidP="005D38D0">
            <w:pPr>
              <w:spacing w:after="0" w:line="240" w:lineRule="auto"/>
              <w:ind w:right="-568" w:hanging="635"/>
              <w:jc w:val="center"/>
              <w:rPr>
                <w:rFonts w:asciiTheme="minorHAnsi" w:eastAsia="Times New Roman" w:hAnsiTheme="minorHAnsi" w:cstheme="minorHAnsi"/>
                <w:b/>
                <w:bCs/>
                <w:sz w:val="20"/>
                <w:szCs w:val="20"/>
                <w:lang w:eastAsia="pt-BR"/>
              </w:rPr>
            </w:pPr>
            <w:r w:rsidRPr="00747C83">
              <w:rPr>
                <w:rFonts w:asciiTheme="minorHAnsi" w:eastAsia="Times New Roman" w:hAnsiTheme="minorHAnsi" w:cstheme="minorHAnsi"/>
                <w:b/>
                <w:bCs/>
                <w:sz w:val="20"/>
                <w:szCs w:val="20"/>
                <w:lang w:eastAsia="pt-BR"/>
              </w:rPr>
              <w:t>Limite da</w:t>
            </w:r>
          </w:p>
          <w:p w14:paraId="0CAF67AF" w14:textId="4138AB0F" w:rsidR="00AE689F" w:rsidRPr="00747C83" w:rsidRDefault="00AE689F" w:rsidP="005D38D0">
            <w:pPr>
              <w:spacing w:after="0" w:line="240" w:lineRule="auto"/>
              <w:ind w:right="-568" w:hanging="635"/>
              <w:jc w:val="center"/>
              <w:rPr>
                <w:rFonts w:asciiTheme="minorHAnsi" w:eastAsia="Times New Roman" w:hAnsiTheme="minorHAnsi" w:cstheme="minorHAnsi"/>
                <w:b/>
                <w:bCs/>
                <w:sz w:val="20"/>
                <w:szCs w:val="20"/>
                <w:lang w:eastAsia="pt-BR"/>
              </w:rPr>
            </w:pPr>
            <w:r w:rsidRPr="00747C83">
              <w:rPr>
                <w:rFonts w:asciiTheme="minorHAnsi" w:eastAsia="Times New Roman" w:hAnsiTheme="minorHAnsi" w:cstheme="minorHAnsi"/>
                <w:b/>
                <w:bCs/>
                <w:sz w:val="20"/>
                <w:szCs w:val="20"/>
                <w:lang w:eastAsia="pt-BR"/>
              </w:rPr>
              <w:t xml:space="preserve"> Resolução</w:t>
            </w:r>
          </w:p>
        </w:tc>
        <w:tc>
          <w:tcPr>
            <w:tcW w:w="1701"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0294B63" w14:textId="77777777" w:rsidR="00AE689F" w:rsidRPr="00747C83" w:rsidRDefault="00AE689F" w:rsidP="005D38D0">
            <w:pPr>
              <w:spacing w:after="0" w:line="240" w:lineRule="auto"/>
              <w:ind w:right="-568" w:hanging="635"/>
              <w:jc w:val="center"/>
              <w:rPr>
                <w:rFonts w:asciiTheme="minorHAnsi" w:eastAsia="Times New Roman" w:hAnsiTheme="minorHAnsi" w:cstheme="minorHAnsi"/>
                <w:b/>
                <w:bCs/>
                <w:sz w:val="20"/>
                <w:szCs w:val="20"/>
                <w:lang w:eastAsia="pt-BR"/>
              </w:rPr>
            </w:pPr>
            <w:r w:rsidRPr="00747C83">
              <w:rPr>
                <w:rFonts w:asciiTheme="minorHAnsi" w:eastAsia="Times New Roman" w:hAnsiTheme="minorHAnsi" w:cstheme="minorHAnsi"/>
                <w:b/>
                <w:bCs/>
                <w:sz w:val="20"/>
                <w:szCs w:val="20"/>
                <w:lang w:eastAsia="pt-BR"/>
              </w:rPr>
              <w:t>Limite</w:t>
            </w:r>
            <w:r>
              <w:rPr>
                <w:rFonts w:asciiTheme="minorHAnsi" w:eastAsia="Times New Roman" w:hAnsiTheme="minorHAnsi" w:cstheme="minorHAnsi"/>
                <w:b/>
                <w:bCs/>
                <w:sz w:val="20"/>
                <w:szCs w:val="20"/>
                <w:lang w:eastAsia="pt-BR"/>
              </w:rPr>
              <w:t xml:space="preserve"> </w:t>
            </w:r>
            <w:r w:rsidRPr="00747C83">
              <w:rPr>
                <w:rFonts w:asciiTheme="minorHAnsi" w:eastAsia="Times New Roman" w:hAnsiTheme="minorHAnsi" w:cstheme="minorHAnsi"/>
                <w:b/>
                <w:bCs/>
                <w:sz w:val="20"/>
                <w:szCs w:val="20"/>
                <w:lang w:eastAsia="pt-BR"/>
              </w:rPr>
              <w:t>Inferior%</w:t>
            </w:r>
          </w:p>
        </w:tc>
        <w:tc>
          <w:tcPr>
            <w:tcW w:w="1701"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B3DF241" w14:textId="77777777" w:rsidR="00AE689F" w:rsidRPr="00747C83" w:rsidRDefault="00AE689F" w:rsidP="005D38D0">
            <w:pPr>
              <w:spacing w:after="0" w:line="240" w:lineRule="auto"/>
              <w:ind w:right="-568" w:hanging="635"/>
              <w:jc w:val="center"/>
              <w:rPr>
                <w:rFonts w:asciiTheme="minorHAnsi" w:eastAsia="Times New Roman" w:hAnsiTheme="minorHAnsi" w:cstheme="minorHAnsi"/>
                <w:b/>
                <w:bCs/>
                <w:sz w:val="20"/>
                <w:szCs w:val="20"/>
                <w:lang w:eastAsia="pt-BR"/>
              </w:rPr>
            </w:pPr>
            <w:r w:rsidRPr="00747C83">
              <w:rPr>
                <w:rFonts w:asciiTheme="minorHAnsi" w:eastAsia="Times New Roman" w:hAnsiTheme="minorHAnsi" w:cstheme="minorHAnsi"/>
                <w:b/>
                <w:bCs/>
                <w:sz w:val="20"/>
                <w:szCs w:val="20"/>
                <w:lang w:eastAsia="pt-BR"/>
              </w:rPr>
              <w:t>Estratégica Ativo %</w:t>
            </w:r>
          </w:p>
        </w:tc>
        <w:tc>
          <w:tcPr>
            <w:tcW w:w="2126" w:type="dxa"/>
            <w:vMerge w:val="restart"/>
            <w:tcBorders>
              <w:top w:val="nil"/>
              <w:left w:val="single" w:sz="4" w:space="0" w:color="000000"/>
              <w:bottom w:val="single" w:sz="4" w:space="0" w:color="000000"/>
              <w:right w:val="single" w:sz="8" w:space="0" w:color="000000"/>
            </w:tcBorders>
            <w:shd w:val="clear" w:color="000000" w:fill="D9D9D9"/>
            <w:vAlign w:val="center"/>
            <w:hideMark/>
          </w:tcPr>
          <w:p w14:paraId="6283608F" w14:textId="77777777" w:rsidR="00AE689F" w:rsidRPr="00747C83" w:rsidRDefault="00AE689F" w:rsidP="005D38D0">
            <w:pPr>
              <w:spacing w:after="0" w:line="240" w:lineRule="auto"/>
              <w:ind w:right="-568" w:hanging="635"/>
              <w:jc w:val="center"/>
              <w:rPr>
                <w:rFonts w:asciiTheme="minorHAnsi" w:eastAsia="Times New Roman" w:hAnsiTheme="minorHAnsi" w:cstheme="minorHAnsi"/>
                <w:b/>
                <w:bCs/>
                <w:sz w:val="20"/>
                <w:szCs w:val="20"/>
                <w:lang w:eastAsia="pt-BR"/>
              </w:rPr>
            </w:pPr>
            <w:r w:rsidRPr="00747C83">
              <w:rPr>
                <w:rFonts w:asciiTheme="minorHAnsi" w:eastAsia="Times New Roman" w:hAnsiTheme="minorHAnsi" w:cstheme="minorHAnsi"/>
                <w:b/>
                <w:bCs/>
                <w:sz w:val="20"/>
                <w:szCs w:val="20"/>
                <w:lang w:eastAsia="pt-BR"/>
              </w:rPr>
              <w:t>Limite Superior %</w:t>
            </w:r>
          </w:p>
        </w:tc>
      </w:tr>
      <w:tr w:rsidR="00AE689F" w:rsidRPr="00747C83" w14:paraId="1E04BCE0" w14:textId="77777777" w:rsidTr="00FB2503">
        <w:trPr>
          <w:trHeight w:val="269"/>
          <w:jc w:val="center"/>
        </w:trPr>
        <w:tc>
          <w:tcPr>
            <w:tcW w:w="1694" w:type="dxa"/>
            <w:vMerge/>
            <w:tcBorders>
              <w:top w:val="nil"/>
              <w:left w:val="single" w:sz="8" w:space="0" w:color="000000"/>
              <w:bottom w:val="single" w:sz="4" w:space="0" w:color="000000"/>
              <w:right w:val="single" w:sz="4" w:space="0" w:color="000000"/>
            </w:tcBorders>
            <w:vAlign w:val="center"/>
            <w:hideMark/>
          </w:tcPr>
          <w:p w14:paraId="04743EF4" w14:textId="77777777" w:rsidR="00AE689F" w:rsidRPr="00747C83" w:rsidRDefault="00AE689F" w:rsidP="005D38D0">
            <w:pPr>
              <w:spacing w:after="0" w:line="240" w:lineRule="auto"/>
              <w:ind w:right="-568" w:hanging="509"/>
              <w:rPr>
                <w:rFonts w:asciiTheme="minorHAnsi" w:eastAsia="Times New Roman" w:hAnsiTheme="minorHAnsi" w:cstheme="minorHAnsi"/>
                <w:b/>
                <w:bCs/>
                <w:color w:val="FFFFFF"/>
                <w:lang w:eastAsia="pt-BR"/>
              </w:rPr>
            </w:pPr>
          </w:p>
        </w:tc>
        <w:tc>
          <w:tcPr>
            <w:tcW w:w="4817" w:type="dxa"/>
            <w:gridSpan w:val="2"/>
            <w:vMerge/>
            <w:tcBorders>
              <w:top w:val="single" w:sz="4" w:space="0" w:color="000000"/>
              <w:left w:val="single" w:sz="4" w:space="0" w:color="000000"/>
              <w:bottom w:val="single" w:sz="4" w:space="0" w:color="000000"/>
              <w:right w:val="single" w:sz="4" w:space="0" w:color="000000"/>
            </w:tcBorders>
            <w:vAlign w:val="center"/>
            <w:hideMark/>
          </w:tcPr>
          <w:p w14:paraId="7A9FD9D9" w14:textId="77777777" w:rsidR="00AE689F" w:rsidRPr="00747C83" w:rsidRDefault="00AE689F" w:rsidP="00B03275">
            <w:pPr>
              <w:spacing w:after="0" w:line="240" w:lineRule="auto"/>
              <w:ind w:right="-568" w:firstLine="851"/>
              <w:rPr>
                <w:rFonts w:asciiTheme="minorHAnsi" w:eastAsia="Times New Roman" w:hAnsiTheme="minorHAnsi" w:cstheme="minorHAnsi"/>
                <w:b/>
                <w:bCs/>
                <w:sz w:val="20"/>
                <w:szCs w:val="20"/>
                <w:lang w:eastAsia="pt-BR"/>
              </w:rPr>
            </w:pPr>
          </w:p>
        </w:tc>
        <w:tc>
          <w:tcPr>
            <w:tcW w:w="1134" w:type="dxa"/>
            <w:vMerge/>
            <w:tcBorders>
              <w:top w:val="nil"/>
              <w:left w:val="single" w:sz="4" w:space="0" w:color="000000"/>
              <w:bottom w:val="single" w:sz="4" w:space="0" w:color="000000"/>
              <w:right w:val="single" w:sz="4" w:space="0" w:color="000000"/>
            </w:tcBorders>
            <w:vAlign w:val="center"/>
            <w:hideMark/>
          </w:tcPr>
          <w:p w14:paraId="61755769" w14:textId="77777777" w:rsidR="00AE689F" w:rsidRPr="00747C83" w:rsidRDefault="00AE689F" w:rsidP="00B03275">
            <w:pPr>
              <w:spacing w:after="0" w:line="240" w:lineRule="auto"/>
              <w:ind w:right="-568" w:firstLine="851"/>
              <w:rPr>
                <w:rFonts w:asciiTheme="minorHAnsi" w:eastAsia="Times New Roman" w:hAnsiTheme="minorHAnsi" w:cstheme="minorHAnsi"/>
                <w:b/>
                <w:bCs/>
                <w:sz w:val="20"/>
                <w:szCs w:val="20"/>
                <w:lang w:eastAsia="pt-BR"/>
              </w:rPr>
            </w:pPr>
          </w:p>
        </w:tc>
        <w:tc>
          <w:tcPr>
            <w:tcW w:w="1701" w:type="dxa"/>
            <w:vMerge/>
            <w:tcBorders>
              <w:top w:val="nil"/>
              <w:left w:val="single" w:sz="4" w:space="0" w:color="000000"/>
              <w:bottom w:val="single" w:sz="4" w:space="0" w:color="000000"/>
              <w:right w:val="single" w:sz="4" w:space="0" w:color="000000"/>
            </w:tcBorders>
            <w:vAlign w:val="center"/>
            <w:hideMark/>
          </w:tcPr>
          <w:p w14:paraId="6DA74177" w14:textId="77777777" w:rsidR="00AE689F" w:rsidRPr="00747C83" w:rsidRDefault="00AE689F" w:rsidP="00B03275">
            <w:pPr>
              <w:spacing w:after="0" w:line="240" w:lineRule="auto"/>
              <w:ind w:right="-568" w:firstLine="851"/>
              <w:rPr>
                <w:rFonts w:asciiTheme="minorHAnsi" w:eastAsia="Times New Roman" w:hAnsiTheme="minorHAnsi" w:cstheme="minorHAnsi"/>
                <w:b/>
                <w:bCs/>
                <w:sz w:val="20"/>
                <w:szCs w:val="20"/>
                <w:lang w:eastAsia="pt-BR"/>
              </w:rPr>
            </w:pPr>
          </w:p>
        </w:tc>
        <w:tc>
          <w:tcPr>
            <w:tcW w:w="1701" w:type="dxa"/>
            <w:vMerge/>
            <w:tcBorders>
              <w:top w:val="nil"/>
              <w:left w:val="single" w:sz="4" w:space="0" w:color="000000"/>
              <w:bottom w:val="single" w:sz="4" w:space="0" w:color="000000"/>
              <w:right w:val="single" w:sz="4" w:space="0" w:color="000000"/>
            </w:tcBorders>
            <w:vAlign w:val="center"/>
            <w:hideMark/>
          </w:tcPr>
          <w:p w14:paraId="448768C4" w14:textId="77777777" w:rsidR="00AE689F" w:rsidRPr="00747C83" w:rsidRDefault="00AE689F" w:rsidP="00B03275">
            <w:pPr>
              <w:spacing w:after="0" w:line="240" w:lineRule="auto"/>
              <w:ind w:right="-568" w:firstLine="851"/>
              <w:rPr>
                <w:rFonts w:asciiTheme="minorHAnsi" w:eastAsia="Times New Roman" w:hAnsiTheme="minorHAnsi" w:cstheme="minorHAnsi"/>
                <w:b/>
                <w:bCs/>
                <w:sz w:val="20"/>
                <w:szCs w:val="20"/>
                <w:lang w:eastAsia="pt-BR"/>
              </w:rPr>
            </w:pPr>
          </w:p>
        </w:tc>
        <w:tc>
          <w:tcPr>
            <w:tcW w:w="2126" w:type="dxa"/>
            <w:vMerge/>
            <w:tcBorders>
              <w:top w:val="nil"/>
              <w:left w:val="single" w:sz="4" w:space="0" w:color="000000"/>
              <w:bottom w:val="single" w:sz="4" w:space="0" w:color="000000"/>
              <w:right w:val="single" w:sz="8" w:space="0" w:color="000000"/>
            </w:tcBorders>
            <w:vAlign w:val="center"/>
            <w:hideMark/>
          </w:tcPr>
          <w:p w14:paraId="19CB0ED5" w14:textId="77777777" w:rsidR="00AE689F" w:rsidRPr="00747C83" w:rsidRDefault="00AE689F" w:rsidP="00B03275">
            <w:pPr>
              <w:spacing w:after="0" w:line="240" w:lineRule="auto"/>
              <w:ind w:right="-568" w:firstLine="851"/>
              <w:rPr>
                <w:rFonts w:asciiTheme="minorHAnsi" w:eastAsia="Times New Roman" w:hAnsiTheme="minorHAnsi" w:cstheme="minorHAnsi"/>
                <w:b/>
                <w:bCs/>
                <w:sz w:val="20"/>
                <w:szCs w:val="20"/>
                <w:lang w:eastAsia="pt-BR"/>
              </w:rPr>
            </w:pPr>
          </w:p>
        </w:tc>
      </w:tr>
      <w:tr w:rsidR="00167685" w:rsidRPr="00904FA8" w14:paraId="5B905685" w14:textId="77777777" w:rsidTr="00F522A4">
        <w:trPr>
          <w:trHeight w:val="257"/>
          <w:jc w:val="center"/>
        </w:trPr>
        <w:tc>
          <w:tcPr>
            <w:tcW w:w="1694" w:type="dxa"/>
            <w:vMerge w:val="restart"/>
            <w:tcBorders>
              <w:top w:val="single" w:sz="8" w:space="0" w:color="000000"/>
              <w:left w:val="single" w:sz="8" w:space="0" w:color="000000"/>
              <w:bottom w:val="single" w:sz="4" w:space="0" w:color="000000"/>
              <w:right w:val="single" w:sz="4" w:space="0" w:color="000000"/>
            </w:tcBorders>
            <w:shd w:val="clear" w:color="000000" w:fill="195689"/>
            <w:noWrap/>
            <w:vAlign w:val="center"/>
            <w:hideMark/>
          </w:tcPr>
          <w:p w14:paraId="36CE9965" w14:textId="77777777" w:rsidR="00167685" w:rsidRPr="00904FA8" w:rsidRDefault="00167685" w:rsidP="00167685">
            <w:pPr>
              <w:spacing w:after="0" w:line="240" w:lineRule="auto"/>
              <w:ind w:right="-568" w:hanging="509"/>
              <w:jc w:val="center"/>
              <w:rPr>
                <w:rFonts w:asciiTheme="minorHAnsi" w:eastAsia="Times New Roman" w:hAnsiTheme="minorHAnsi" w:cstheme="minorHAnsi"/>
                <w:b/>
                <w:bCs/>
                <w:color w:val="FFFFFF"/>
                <w:sz w:val="18"/>
                <w:szCs w:val="18"/>
                <w:lang w:eastAsia="pt-BR"/>
              </w:rPr>
            </w:pPr>
            <w:r w:rsidRPr="00904FA8">
              <w:rPr>
                <w:rFonts w:asciiTheme="minorHAnsi" w:eastAsia="Times New Roman" w:hAnsiTheme="minorHAnsi" w:cstheme="minorHAnsi"/>
                <w:b/>
                <w:bCs/>
                <w:color w:val="FFFFFF"/>
                <w:sz w:val="18"/>
                <w:szCs w:val="18"/>
                <w:lang w:eastAsia="pt-BR"/>
              </w:rPr>
              <w:t>RENDA FIXA</w:t>
            </w:r>
          </w:p>
        </w:tc>
        <w:tc>
          <w:tcPr>
            <w:tcW w:w="3345" w:type="dxa"/>
            <w:tcBorders>
              <w:top w:val="single" w:sz="8" w:space="0" w:color="000000"/>
              <w:left w:val="nil"/>
              <w:bottom w:val="single" w:sz="4" w:space="0" w:color="000000"/>
              <w:right w:val="single" w:sz="4" w:space="0" w:color="000000"/>
            </w:tcBorders>
            <w:shd w:val="clear" w:color="auto" w:fill="auto"/>
            <w:vAlign w:val="center"/>
            <w:hideMark/>
          </w:tcPr>
          <w:p w14:paraId="2EDF7E20" w14:textId="77777777" w:rsidR="00167685" w:rsidRPr="008E3A2F"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Títulos TN SELIC</w:t>
            </w:r>
          </w:p>
        </w:tc>
        <w:tc>
          <w:tcPr>
            <w:tcW w:w="1472" w:type="dxa"/>
            <w:tcBorders>
              <w:top w:val="single" w:sz="8" w:space="0" w:color="000000"/>
              <w:left w:val="nil"/>
              <w:bottom w:val="single" w:sz="4" w:space="0" w:color="000000"/>
              <w:right w:val="single" w:sz="4" w:space="0" w:color="000000"/>
            </w:tcBorders>
            <w:shd w:val="clear" w:color="auto" w:fill="auto"/>
            <w:vAlign w:val="center"/>
            <w:hideMark/>
          </w:tcPr>
          <w:p w14:paraId="4EF66193"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Art.7°, I, "a"</w:t>
            </w:r>
          </w:p>
        </w:tc>
        <w:tc>
          <w:tcPr>
            <w:tcW w:w="1134" w:type="dxa"/>
            <w:tcBorders>
              <w:top w:val="single" w:sz="8" w:space="0" w:color="000000"/>
              <w:left w:val="nil"/>
              <w:bottom w:val="single" w:sz="4" w:space="0" w:color="000000"/>
              <w:right w:val="single" w:sz="4" w:space="0" w:color="000000"/>
            </w:tcBorders>
            <w:shd w:val="clear" w:color="auto" w:fill="auto"/>
            <w:vAlign w:val="center"/>
            <w:hideMark/>
          </w:tcPr>
          <w:p w14:paraId="5D0A16F9"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100,00%</w:t>
            </w:r>
          </w:p>
        </w:tc>
        <w:tc>
          <w:tcPr>
            <w:tcW w:w="1701" w:type="dxa"/>
            <w:tcBorders>
              <w:top w:val="single" w:sz="8" w:space="0" w:color="000000"/>
              <w:left w:val="nil"/>
              <w:bottom w:val="single" w:sz="4" w:space="0" w:color="000000"/>
              <w:right w:val="single" w:sz="4" w:space="0" w:color="000000"/>
            </w:tcBorders>
            <w:shd w:val="clear" w:color="auto" w:fill="auto"/>
            <w:vAlign w:val="center"/>
            <w:hideMark/>
          </w:tcPr>
          <w:p w14:paraId="67202EBD"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single" w:sz="8" w:space="0" w:color="000000"/>
              <w:left w:val="nil"/>
              <w:bottom w:val="single" w:sz="4" w:space="0" w:color="000000"/>
              <w:right w:val="single" w:sz="4" w:space="0" w:color="000000"/>
            </w:tcBorders>
            <w:shd w:val="clear" w:color="auto" w:fill="auto"/>
            <w:hideMark/>
          </w:tcPr>
          <w:p w14:paraId="58ADF228" w14:textId="14B32BB0"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0,00%</w:t>
            </w:r>
          </w:p>
        </w:tc>
        <w:tc>
          <w:tcPr>
            <w:tcW w:w="2126" w:type="dxa"/>
            <w:tcBorders>
              <w:top w:val="single" w:sz="8" w:space="0" w:color="000000"/>
              <w:left w:val="nil"/>
              <w:bottom w:val="single" w:sz="4" w:space="0" w:color="000000"/>
              <w:right w:val="single" w:sz="8" w:space="0" w:color="000000"/>
            </w:tcBorders>
            <w:shd w:val="clear" w:color="auto" w:fill="auto"/>
            <w:hideMark/>
          </w:tcPr>
          <w:p w14:paraId="242FDF25" w14:textId="615B8060"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6812">
              <w:rPr>
                <w:rFonts w:asciiTheme="minorHAnsi" w:eastAsia="Times New Roman" w:hAnsiTheme="minorHAnsi" w:cstheme="minorHAnsi"/>
                <w:color w:val="000000"/>
                <w:sz w:val="18"/>
                <w:szCs w:val="18"/>
                <w:lang w:eastAsia="pt-BR"/>
              </w:rPr>
              <w:t>0,00%</w:t>
            </w:r>
          </w:p>
        </w:tc>
      </w:tr>
      <w:tr w:rsidR="00167685" w:rsidRPr="00904FA8" w14:paraId="4D8132FD" w14:textId="77777777" w:rsidTr="00F522A4">
        <w:trPr>
          <w:trHeight w:val="300"/>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4B54227A"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75BB8D51" w14:textId="77777777" w:rsidR="00167685" w:rsidRPr="008E3A2F"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FI 100% Títulos TN</w:t>
            </w:r>
          </w:p>
        </w:tc>
        <w:tc>
          <w:tcPr>
            <w:tcW w:w="1472" w:type="dxa"/>
            <w:tcBorders>
              <w:top w:val="nil"/>
              <w:left w:val="nil"/>
              <w:bottom w:val="single" w:sz="4" w:space="0" w:color="000000"/>
              <w:right w:val="single" w:sz="4" w:space="0" w:color="000000"/>
            </w:tcBorders>
            <w:shd w:val="clear" w:color="auto" w:fill="auto"/>
            <w:vAlign w:val="center"/>
            <w:hideMark/>
          </w:tcPr>
          <w:p w14:paraId="372944F4"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7°, I, "b"</w:t>
            </w:r>
          </w:p>
        </w:tc>
        <w:tc>
          <w:tcPr>
            <w:tcW w:w="1134" w:type="dxa"/>
            <w:tcBorders>
              <w:top w:val="nil"/>
              <w:left w:val="nil"/>
              <w:bottom w:val="single" w:sz="4" w:space="0" w:color="000000"/>
              <w:right w:val="single" w:sz="4" w:space="0" w:color="000000"/>
            </w:tcBorders>
            <w:shd w:val="clear" w:color="auto" w:fill="auto"/>
            <w:vAlign w:val="center"/>
            <w:hideMark/>
          </w:tcPr>
          <w:p w14:paraId="4547071A"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100,00%</w:t>
            </w:r>
          </w:p>
        </w:tc>
        <w:tc>
          <w:tcPr>
            <w:tcW w:w="1701" w:type="dxa"/>
            <w:tcBorders>
              <w:top w:val="nil"/>
              <w:left w:val="nil"/>
              <w:bottom w:val="single" w:sz="4" w:space="0" w:color="000000"/>
              <w:right w:val="single" w:sz="4" w:space="0" w:color="000000"/>
            </w:tcBorders>
            <w:shd w:val="clear" w:color="auto" w:fill="auto"/>
            <w:vAlign w:val="center"/>
            <w:hideMark/>
          </w:tcPr>
          <w:p w14:paraId="50E84EB4"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7B203C8F" w14:textId="1B090E61"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Pr>
                <w:sz w:val="18"/>
                <w:szCs w:val="18"/>
              </w:rPr>
              <w:t>60</w:t>
            </w:r>
            <w:r w:rsidRPr="00191D48">
              <w:rPr>
                <w:sz w:val="18"/>
                <w:szCs w:val="18"/>
              </w:rPr>
              <w:t>,</w:t>
            </w:r>
            <w:r>
              <w:rPr>
                <w:sz w:val="18"/>
                <w:szCs w:val="18"/>
              </w:rPr>
              <w:t>00</w:t>
            </w:r>
            <w:r w:rsidRPr="00191D48">
              <w:rPr>
                <w:sz w:val="18"/>
                <w:szCs w:val="18"/>
              </w:rPr>
              <w:t>%</w:t>
            </w:r>
          </w:p>
        </w:tc>
        <w:tc>
          <w:tcPr>
            <w:tcW w:w="2126" w:type="dxa"/>
            <w:tcBorders>
              <w:top w:val="nil"/>
              <w:left w:val="nil"/>
              <w:bottom w:val="single" w:sz="4" w:space="0" w:color="000000"/>
              <w:right w:val="single" w:sz="8" w:space="0" w:color="000000"/>
            </w:tcBorders>
            <w:shd w:val="clear" w:color="auto" w:fill="auto"/>
            <w:hideMark/>
          </w:tcPr>
          <w:p w14:paraId="1EC02CBE" w14:textId="6F7B87BA"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Pr>
                <w:rFonts w:asciiTheme="minorHAnsi" w:eastAsia="Times New Roman" w:hAnsiTheme="minorHAnsi" w:cstheme="minorHAnsi"/>
                <w:color w:val="000000"/>
                <w:sz w:val="18"/>
                <w:szCs w:val="18"/>
                <w:lang w:eastAsia="pt-BR"/>
              </w:rPr>
              <w:t>10</w:t>
            </w:r>
            <w:r w:rsidRPr="00906812">
              <w:rPr>
                <w:rFonts w:asciiTheme="minorHAnsi" w:eastAsia="Times New Roman" w:hAnsiTheme="minorHAnsi" w:cstheme="minorHAnsi"/>
                <w:color w:val="000000"/>
                <w:sz w:val="18"/>
                <w:szCs w:val="18"/>
                <w:lang w:eastAsia="pt-BR"/>
              </w:rPr>
              <w:t>0,00%</w:t>
            </w:r>
          </w:p>
        </w:tc>
      </w:tr>
      <w:tr w:rsidR="00167685" w:rsidRPr="00904FA8" w14:paraId="56252B87" w14:textId="77777777" w:rsidTr="00D3145F">
        <w:trPr>
          <w:trHeight w:val="300"/>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708DF610"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1125C212" w14:textId="77777777" w:rsidR="00167685" w:rsidRPr="008E3A2F" w:rsidRDefault="00167685" w:rsidP="00167685">
            <w:pPr>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FI Ref em Índices de RF 100 TP</w:t>
            </w:r>
          </w:p>
        </w:tc>
        <w:tc>
          <w:tcPr>
            <w:tcW w:w="1472" w:type="dxa"/>
            <w:tcBorders>
              <w:top w:val="single" w:sz="8" w:space="0" w:color="000000"/>
              <w:left w:val="nil"/>
              <w:bottom w:val="single" w:sz="4" w:space="0" w:color="000000"/>
              <w:right w:val="single" w:sz="4" w:space="0" w:color="000000"/>
            </w:tcBorders>
            <w:shd w:val="clear" w:color="auto" w:fill="auto"/>
            <w:vAlign w:val="center"/>
            <w:hideMark/>
          </w:tcPr>
          <w:p w14:paraId="7092E28F"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Art.7°, I, "c"</w:t>
            </w:r>
          </w:p>
        </w:tc>
        <w:tc>
          <w:tcPr>
            <w:tcW w:w="1134" w:type="dxa"/>
            <w:tcBorders>
              <w:top w:val="nil"/>
              <w:left w:val="nil"/>
              <w:bottom w:val="single" w:sz="4" w:space="0" w:color="000000"/>
              <w:right w:val="single" w:sz="4" w:space="0" w:color="000000"/>
            </w:tcBorders>
            <w:shd w:val="clear" w:color="auto" w:fill="auto"/>
            <w:vAlign w:val="center"/>
            <w:hideMark/>
          </w:tcPr>
          <w:p w14:paraId="4E0A86BA"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100,00%</w:t>
            </w:r>
          </w:p>
        </w:tc>
        <w:tc>
          <w:tcPr>
            <w:tcW w:w="1701" w:type="dxa"/>
            <w:tcBorders>
              <w:top w:val="nil"/>
              <w:left w:val="nil"/>
              <w:bottom w:val="single" w:sz="4" w:space="0" w:color="000000"/>
              <w:right w:val="single" w:sz="4" w:space="0" w:color="000000"/>
            </w:tcBorders>
            <w:shd w:val="clear" w:color="auto" w:fill="auto"/>
            <w:vAlign w:val="center"/>
            <w:hideMark/>
          </w:tcPr>
          <w:p w14:paraId="04DF744D"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0B7D6293" w14:textId="7D8082C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643B6882" w14:textId="3B4A4670"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6812">
              <w:rPr>
                <w:rFonts w:asciiTheme="minorHAnsi" w:eastAsia="Times New Roman" w:hAnsiTheme="minorHAnsi" w:cstheme="minorHAnsi"/>
                <w:color w:val="000000"/>
                <w:sz w:val="18"/>
                <w:szCs w:val="18"/>
                <w:lang w:eastAsia="pt-BR"/>
              </w:rPr>
              <w:t>0,00%</w:t>
            </w:r>
          </w:p>
        </w:tc>
      </w:tr>
      <w:tr w:rsidR="00167685" w:rsidRPr="00904FA8" w14:paraId="04A728EA" w14:textId="77777777" w:rsidTr="00D3145F">
        <w:trPr>
          <w:trHeight w:val="252"/>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6B03ADE3"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0732C120" w14:textId="77777777" w:rsidR="00167685" w:rsidRPr="008E3A2F"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Oper. Compromissadas em TP TN</w:t>
            </w:r>
          </w:p>
        </w:tc>
        <w:tc>
          <w:tcPr>
            <w:tcW w:w="1472" w:type="dxa"/>
            <w:tcBorders>
              <w:top w:val="nil"/>
              <w:left w:val="nil"/>
              <w:bottom w:val="single" w:sz="4" w:space="0" w:color="000000"/>
              <w:right w:val="single" w:sz="4" w:space="0" w:color="000000"/>
            </w:tcBorders>
            <w:shd w:val="clear" w:color="auto" w:fill="auto"/>
            <w:vAlign w:val="center"/>
            <w:hideMark/>
          </w:tcPr>
          <w:p w14:paraId="41278C37"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7°, II</w:t>
            </w:r>
          </w:p>
        </w:tc>
        <w:tc>
          <w:tcPr>
            <w:tcW w:w="1134" w:type="dxa"/>
            <w:tcBorders>
              <w:top w:val="nil"/>
              <w:left w:val="nil"/>
              <w:bottom w:val="single" w:sz="4" w:space="0" w:color="000000"/>
              <w:right w:val="single" w:sz="4" w:space="0" w:color="000000"/>
            </w:tcBorders>
            <w:shd w:val="clear" w:color="auto" w:fill="auto"/>
            <w:vAlign w:val="center"/>
            <w:hideMark/>
          </w:tcPr>
          <w:p w14:paraId="253AFE89"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5,00%</w:t>
            </w:r>
          </w:p>
        </w:tc>
        <w:tc>
          <w:tcPr>
            <w:tcW w:w="1701" w:type="dxa"/>
            <w:tcBorders>
              <w:top w:val="nil"/>
              <w:left w:val="nil"/>
              <w:bottom w:val="single" w:sz="4" w:space="0" w:color="000000"/>
              <w:right w:val="single" w:sz="4" w:space="0" w:color="000000"/>
            </w:tcBorders>
            <w:shd w:val="clear" w:color="auto" w:fill="auto"/>
            <w:vAlign w:val="center"/>
            <w:hideMark/>
          </w:tcPr>
          <w:p w14:paraId="63439E77"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34232D1F" w14:textId="777A0204"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4486DBB3" w14:textId="50942DEC"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6812">
              <w:rPr>
                <w:rFonts w:asciiTheme="minorHAnsi" w:eastAsia="Times New Roman" w:hAnsiTheme="minorHAnsi" w:cstheme="minorHAnsi"/>
                <w:color w:val="000000"/>
                <w:sz w:val="18"/>
                <w:szCs w:val="18"/>
                <w:lang w:eastAsia="pt-BR"/>
              </w:rPr>
              <w:t>0,00%</w:t>
            </w:r>
          </w:p>
        </w:tc>
      </w:tr>
      <w:tr w:rsidR="00167685" w:rsidRPr="00904FA8" w14:paraId="1ABD576F" w14:textId="77777777" w:rsidTr="00D3145F">
        <w:trPr>
          <w:trHeight w:val="300"/>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1BD9460B"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7960CDD6" w14:textId="77777777" w:rsidR="00167685" w:rsidRPr="008E3A2F"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FI referenciados RF</w:t>
            </w:r>
          </w:p>
        </w:tc>
        <w:tc>
          <w:tcPr>
            <w:tcW w:w="1472" w:type="dxa"/>
            <w:tcBorders>
              <w:top w:val="nil"/>
              <w:left w:val="nil"/>
              <w:bottom w:val="single" w:sz="4" w:space="0" w:color="000000"/>
              <w:right w:val="single" w:sz="4" w:space="0" w:color="000000"/>
            </w:tcBorders>
            <w:shd w:val="clear" w:color="auto" w:fill="auto"/>
            <w:vAlign w:val="center"/>
            <w:hideMark/>
          </w:tcPr>
          <w:p w14:paraId="11C593A4"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7°, III, "a"</w:t>
            </w:r>
          </w:p>
        </w:tc>
        <w:tc>
          <w:tcPr>
            <w:tcW w:w="1134" w:type="dxa"/>
            <w:tcBorders>
              <w:top w:val="nil"/>
              <w:left w:val="nil"/>
              <w:bottom w:val="single" w:sz="4" w:space="0" w:color="000000"/>
              <w:right w:val="single" w:sz="4" w:space="0" w:color="000000"/>
            </w:tcBorders>
            <w:shd w:val="clear" w:color="auto" w:fill="auto"/>
            <w:vAlign w:val="center"/>
            <w:hideMark/>
          </w:tcPr>
          <w:p w14:paraId="63BDA8A8"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60,00%</w:t>
            </w:r>
          </w:p>
        </w:tc>
        <w:tc>
          <w:tcPr>
            <w:tcW w:w="1701" w:type="dxa"/>
            <w:tcBorders>
              <w:top w:val="nil"/>
              <w:left w:val="nil"/>
              <w:bottom w:val="single" w:sz="4" w:space="0" w:color="000000"/>
              <w:right w:val="single" w:sz="4" w:space="0" w:color="000000"/>
            </w:tcBorders>
            <w:shd w:val="clear" w:color="auto" w:fill="auto"/>
            <w:vAlign w:val="center"/>
            <w:hideMark/>
          </w:tcPr>
          <w:p w14:paraId="7DFC2A11"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4DE6C3BD" w14:textId="62A8AED2"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Pr>
                <w:sz w:val="18"/>
                <w:szCs w:val="18"/>
              </w:rPr>
              <w:t>10</w:t>
            </w:r>
            <w:r w:rsidRPr="00191D48">
              <w:rPr>
                <w:sz w:val="18"/>
                <w:szCs w:val="18"/>
              </w:rPr>
              <w:t>,</w:t>
            </w:r>
            <w:r>
              <w:rPr>
                <w:sz w:val="18"/>
                <w:szCs w:val="18"/>
              </w:rPr>
              <w:t>54</w:t>
            </w:r>
            <w:r w:rsidRPr="00191D48">
              <w:rPr>
                <w:sz w:val="18"/>
                <w:szCs w:val="18"/>
              </w:rPr>
              <w:t>%</w:t>
            </w:r>
          </w:p>
        </w:tc>
        <w:tc>
          <w:tcPr>
            <w:tcW w:w="2126" w:type="dxa"/>
            <w:tcBorders>
              <w:top w:val="nil"/>
              <w:left w:val="nil"/>
              <w:bottom w:val="single" w:sz="4" w:space="0" w:color="000000"/>
              <w:right w:val="single" w:sz="8" w:space="0" w:color="000000"/>
            </w:tcBorders>
            <w:shd w:val="clear" w:color="auto" w:fill="auto"/>
            <w:hideMark/>
          </w:tcPr>
          <w:p w14:paraId="28F0035A" w14:textId="60497FA2"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Pr>
                <w:rFonts w:asciiTheme="minorHAnsi" w:eastAsia="Times New Roman" w:hAnsiTheme="minorHAnsi" w:cstheme="minorHAnsi"/>
                <w:color w:val="000000"/>
                <w:sz w:val="18"/>
                <w:szCs w:val="18"/>
                <w:lang w:eastAsia="pt-BR"/>
              </w:rPr>
              <w:t>60</w:t>
            </w:r>
            <w:r w:rsidRPr="00906812">
              <w:rPr>
                <w:rFonts w:asciiTheme="minorHAnsi" w:eastAsia="Times New Roman" w:hAnsiTheme="minorHAnsi" w:cstheme="minorHAnsi"/>
                <w:color w:val="000000"/>
                <w:sz w:val="18"/>
                <w:szCs w:val="18"/>
                <w:lang w:eastAsia="pt-BR"/>
              </w:rPr>
              <w:t>,00%</w:t>
            </w:r>
          </w:p>
        </w:tc>
      </w:tr>
      <w:tr w:rsidR="00167685" w:rsidRPr="00904FA8" w14:paraId="3594E610" w14:textId="77777777" w:rsidTr="00D3145F">
        <w:trPr>
          <w:trHeight w:val="351"/>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6CCFF897"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0180ACB3" w14:textId="77777777" w:rsidR="00167685" w:rsidRPr="008E3A2F" w:rsidRDefault="00167685" w:rsidP="00167685">
            <w:pPr>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FI de Índices Referenciado RF</w:t>
            </w:r>
          </w:p>
        </w:tc>
        <w:tc>
          <w:tcPr>
            <w:tcW w:w="1472" w:type="dxa"/>
            <w:tcBorders>
              <w:top w:val="nil"/>
              <w:left w:val="nil"/>
              <w:bottom w:val="single" w:sz="4" w:space="0" w:color="000000"/>
              <w:right w:val="single" w:sz="4" w:space="0" w:color="000000"/>
            </w:tcBorders>
            <w:shd w:val="clear" w:color="auto" w:fill="auto"/>
            <w:vAlign w:val="center"/>
            <w:hideMark/>
          </w:tcPr>
          <w:p w14:paraId="406DFB9C"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7°, III, "b"</w:t>
            </w:r>
          </w:p>
        </w:tc>
        <w:tc>
          <w:tcPr>
            <w:tcW w:w="1134" w:type="dxa"/>
            <w:tcBorders>
              <w:top w:val="nil"/>
              <w:left w:val="nil"/>
              <w:bottom w:val="single" w:sz="4" w:space="0" w:color="000000"/>
              <w:right w:val="single" w:sz="4" w:space="0" w:color="000000"/>
            </w:tcBorders>
            <w:shd w:val="clear" w:color="auto" w:fill="auto"/>
            <w:vAlign w:val="center"/>
            <w:hideMark/>
          </w:tcPr>
          <w:p w14:paraId="565A6C6F"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60,00%</w:t>
            </w:r>
          </w:p>
        </w:tc>
        <w:tc>
          <w:tcPr>
            <w:tcW w:w="1701" w:type="dxa"/>
            <w:tcBorders>
              <w:top w:val="nil"/>
              <w:left w:val="nil"/>
              <w:bottom w:val="single" w:sz="4" w:space="0" w:color="000000"/>
              <w:right w:val="single" w:sz="4" w:space="0" w:color="000000"/>
            </w:tcBorders>
            <w:shd w:val="clear" w:color="auto" w:fill="auto"/>
            <w:vAlign w:val="center"/>
            <w:hideMark/>
          </w:tcPr>
          <w:p w14:paraId="65FEBEAE"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78E609AD" w14:textId="17DBAEFA"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2C0E2457" w14:textId="2B7395CD"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6812">
              <w:rPr>
                <w:rFonts w:asciiTheme="minorHAnsi" w:eastAsia="Times New Roman" w:hAnsiTheme="minorHAnsi" w:cstheme="minorHAnsi"/>
                <w:color w:val="000000"/>
                <w:sz w:val="18"/>
                <w:szCs w:val="18"/>
                <w:lang w:eastAsia="pt-BR"/>
              </w:rPr>
              <w:t>0,00%</w:t>
            </w:r>
          </w:p>
        </w:tc>
      </w:tr>
      <w:tr w:rsidR="00167685" w:rsidRPr="00904FA8" w14:paraId="11F45207" w14:textId="77777777" w:rsidTr="00D3145F">
        <w:trPr>
          <w:trHeight w:val="231"/>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2C4AC017"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4AB808BF" w14:textId="77777777" w:rsidR="00167685" w:rsidRPr="008E3A2F"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 xml:space="preserve">Renda Fixa de emissão Bancária </w:t>
            </w:r>
          </w:p>
        </w:tc>
        <w:tc>
          <w:tcPr>
            <w:tcW w:w="1472" w:type="dxa"/>
            <w:tcBorders>
              <w:top w:val="nil"/>
              <w:left w:val="nil"/>
              <w:bottom w:val="single" w:sz="4" w:space="0" w:color="000000"/>
              <w:right w:val="single" w:sz="4" w:space="0" w:color="000000"/>
            </w:tcBorders>
            <w:shd w:val="clear" w:color="auto" w:fill="auto"/>
            <w:vAlign w:val="center"/>
            <w:hideMark/>
          </w:tcPr>
          <w:p w14:paraId="113471CA"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7°, IV</w:t>
            </w:r>
          </w:p>
        </w:tc>
        <w:tc>
          <w:tcPr>
            <w:tcW w:w="1134" w:type="dxa"/>
            <w:tcBorders>
              <w:top w:val="nil"/>
              <w:left w:val="nil"/>
              <w:bottom w:val="single" w:sz="4" w:space="0" w:color="000000"/>
              <w:right w:val="single" w:sz="4" w:space="0" w:color="000000"/>
            </w:tcBorders>
            <w:shd w:val="clear" w:color="auto" w:fill="auto"/>
            <w:vAlign w:val="center"/>
            <w:hideMark/>
          </w:tcPr>
          <w:p w14:paraId="23FE032A"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20,00%</w:t>
            </w:r>
          </w:p>
        </w:tc>
        <w:tc>
          <w:tcPr>
            <w:tcW w:w="1701" w:type="dxa"/>
            <w:tcBorders>
              <w:top w:val="nil"/>
              <w:left w:val="nil"/>
              <w:bottom w:val="single" w:sz="4" w:space="0" w:color="000000"/>
              <w:right w:val="single" w:sz="4" w:space="0" w:color="000000"/>
            </w:tcBorders>
            <w:shd w:val="clear" w:color="auto" w:fill="auto"/>
            <w:vAlign w:val="center"/>
            <w:hideMark/>
          </w:tcPr>
          <w:p w14:paraId="62CC1F3F"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4BD7AE8B" w14:textId="0C013C4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2C4FF199" w14:textId="03BFDFBE"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6812">
              <w:rPr>
                <w:rFonts w:asciiTheme="minorHAnsi" w:eastAsia="Times New Roman" w:hAnsiTheme="minorHAnsi" w:cstheme="minorHAnsi"/>
                <w:color w:val="000000"/>
                <w:sz w:val="18"/>
                <w:szCs w:val="18"/>
                <w:lang w:eastAsia="pt-BR"/>
              </w:rPr>
              <w:t>0,00%</w:t>
            </w:r>
          </w:p>
        </w:tc>
      </w:tr>
      <w:tr w:rsidR="00167685" w:rsidRPr="00904FA8" w14:paraId="41DE42D1" w14:textId="77777777" w:rsidTr="00D3145F">
        <w:trPr>
          <w:trHeight w:val="264"/>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64FB890B"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20C5552C" w14:textId="77777777" w:rsidR="00167685" w:rsidRPr="008E3A2F"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 xml:space="preserve"> FI em Direito Creditório - Sênior</w:t>
            </w:r>
          </w:p>
        </w:tc>
        <w:tc>
          <w:tcPr>
            <w:tcW w:w="1472" w:type="dxa"/>
            <w:tcBorders>
              <w:top w:val="nil"/>
              <w:left w:val="nil"/>
              <w:bottom w:val="single" w:sz="4" w:space="0" w:color="000000"/>
              <w:right w:val="single" w:sz="4" w:space="0" w:color="000000"/>
            </w:tcBorders>
            <w:shd w:val="clear" w:color="auto" w:fill="auto"/>
            <w:vAlign w:val="center"/>
            <w:hideMark/>
          </w:tcPr>
          <w:p w14:paraId="4D613B38"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7°, V, "a"</w:t>
            </w:r>
          </w:p>
        </w:tc>
        <w:tc>
          <w:tcPr>
            <w:tcW w:w="1134" w:type="dxa"/>
            <w:tcBorders>
              <w:top w:val="nil"/>
              <w:left w:val="nil"/>
              <w:bottom w:val="single" w:sz="4" w:space="0" w:color="000000"/>
              <w:right w:val="single" w:sz="4" w:space="0" w:color="000000"/>
            </w:tcBorders>
            <w:shd w:val="clear" w:color="auto" w:fill="auto"/>
            <w:vAlign w:val="center"/>
            <w:hideMark/>
          </w:tcPr>
          <w:p w14:paraId="2629C310"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5,00%</w:t>
            </w:r>
          </w:p>
        </w:tc>
        <w:tc>
          <w:tcPr>
            <w:tcW w:w="1701" w:type="dxa"/>
            <w:tcBorders>
              <w:top w:val="nil"/>
              <w:left w:val="nil"/>
              <w:bottom w:val="single" w:sz="4" w:space="0" w:color="000000"/>
              <w:right w:val="single" w:sz="4" w:space="0" w:color="000000"/>
            </w:tcBorders>
            <w:shd w:val="clear" w:color="auto" w:fill="auto"/>
            <w:vAlign w:val="center"/>
            <w:hideMark/>
          </w:tcPr>
          <w:p w14:paraId="2B2D0FFC"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7ACB01D9" w14:textId="0FD4D3F3"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0,46%</w:t>
            </w:r>
          </w:p>
        </w:tc>
        <w:tc>
          <w:tcPr>
            <w:tcW w:w="2126" w:type="dxa"/>
            <w:tcBorders>
              <w:top w:val="nil"/>
              <w:left w:val="nil"/>
              <w:bottom w:val="single" w:sz="4" w:space="0" w:color="000000"/>
              <w:right w:val="single" w:sz="8" w:space="0" w:color="000000"/>
            </w:tcBorders>
            <w:shd w:val="clear" w:color="auto" w:fill="auto"/>
            <w:hideMark/>
          </w:tcPr>
          <w:p w14:paraId="5912D0BA" w14:textId="44D347E2"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Pr>
                <w:rFonts w:asciiTheme="minorHAnsi" w:eastAsia="Times New Roman" w:hAnsiTheme="minorHAnsi" w:cstheme="minorHAnsi"/>
                <w:color w:val="000000"/>
                <w:sz w:val="18"/>
                <w:szCs w:val="18"/>
                <w:lang w:eastAsia="pt-BR"/>
              </w:rPr>
              <w:t>2</w:t>
            </w:r>
            <w:r w:rsidRPr="00906812">
              <w:rPr>
                <w:rFonts w:asciiTheme="minorHAnsi" w:eastAsia="Times New Roman" w:hAnsiTheme="minorHAnsi" w:cstheme="minorHAnsi"/>
                <w:color w:val="000000"/>
                <w:sz w:val="18"/>
                <w:szCs w:val="18"/>
                <w:lang w:eastAsia="pt-BR"/>
              </w:rPr>
              <w:t>,00%</w:t>
            </w:r>
          </w:p>
        </w:tc>
      </w:tr>
      <w:tr w:rsidR="00167685" w:rsidRPr="00904FA8" w14:paraId="45598940" w14:textId="77777777" w:rsidTr="00D3145F">
        <w:trPr>
          <w:trHeight w:val="264"/>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06B61E33"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13B14EF1" w14:textId="77777777" w:rsidR="00167685" w:rsidRPr="008E3A2F"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FI Renda Fixa “Credito Privado”</w:t>
            </w:r>
          </w:p>
        </w:tc>
        <w:tc>
          <w:tcPr>
            <w:tcW w:w="1472" w:type="dxa"/>
            <w:tcBorders>
              <w:top w:val="nil"/>
              <w:left w:val="nil"/>
              <w:bottom w:val="single" w:sz="4" w:space="0" w:color="000000"/>
              <w:right w:val="single" w:sz="4" w:space="0" w:color="000000"/>
            </w:tcBorders>
            <w:shd w:val="clear" w:color="auto" w:fill="auto"/>
            <w:vAlign w:val="center"/>
            <w:hideMark/>
          </w:tcPr>
          <w:p w14:paraId="142E20CF"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7°, V, "b"</w:t>
            </w:r>
          </w:p>
        </w:tc>
        <w:tc>
          <w:tcPr>
            <w:tcW w:w="1134" w:type="dxa"/>
            <w:tcBorders>
              <w:top w:val="nil"/>
              <w:left w:val="nil"/>
              <w:bottom w:val="single" w:sz="4" w:space="0" w:color="000000"/>
              <w:right w:val="single" w:sz="4" w:space="0" w:color="000000"/>
            </w:tcBorders>
            <w:shd w:val="clear" w:color="auto" w:fill="auto"/>
            <w:vAlign w:val="center"/>
            <w:hideMark/>
          </w:tcPr>
          <w:p w14:paraId="48AD73F3"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5,00%</w:t>
            </w:r>
          </w:p>
        </w:tc>
        <w:tc>
          <w:tcPr>
            <w:tcW w:w="1701" w:type="dxa"/>
            <w:tcBorders>
              <w:top w:val="nil"/>
              <w:left w:val="nil"/>
              <w:bottom w:val="single" w:sz="4" w:space="0" w:color="000000"/>
              <w:right w:val="single" w:sz="4" w:space="0" w:color="000000"/>
            </w:tcBorders>
            <w:shd w:val="clear" w:color="auto" w:fill="auto"/>
            <w:vAlign w:val="center"/>
            <w:hideMark/>
          </w:tcPr>
          <w:p w14:paraId="41460772"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369875E8" w14:textId="69B51CCE"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4,0</w:t>
            </w:r>
            <w:r>
              <w:rPr>
                <w:sz w:val="18"/>
                <w:szCs w:val="18"/>
              </w:rPr>
              <w:t>0</w:t>
            </w:r>
            <w:r w:rsidRPr="00191D48">
              <w:rPr>
                <w:sz w:val="18"/>
                <w:szCs w:val="18"/>
              </w:rPr>
              <w:t>%</w:t>
            </w:r>
          </w:p>
        </w:tc>
        <w:tc>
          <w:tcPr>
            <w:tcW w:w="2126" w:type="dxa"/>
            <w:tcBorders>
              <w:top w:val="nil"/>
              <w:left w:val="nil"/>
              <w:bottom w:val="single" w:sz="4" w:space="0" w:color="000000"/>
              <w:right w:val="single" w:sz="8" w:space="0" w:color="000000"/>
            </w:tcBorders>
            <w:shd w:val="clear" w:color="auto" w:fill="auto"/>
            <w:hideMark/>
          </w:tcPr>
          <w:p w14:paraId="11F028CA" w14:textId="141FE584"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Pr>
                <w:rFonts w:asciiTheme="minorHAnsi" w:eastAsia="Times New Roman" w:hAnsiTheme="minorHAnsi" w:cstheme="minorHAnsi"/>
                <w:color w:val="000000"/>
                <w:sz w:val="18"/>
                <w:szCs w:val="18"/>
                <w:lang w:eastAsia="pt-BR"/>
              </w:rPr>
              <w:t>5</w:t>
            </w:r>
            <w:r w:rsidRPr="00906812">
              <w:rPr>
                <w:rFonts w:asciiTheme="minorHAnsi" w:eastAsia="Times New Roman" w:hAnsiTheme="minorHAnsi" w:cstheme="minorHAnsi"/>
                <w:color w:val="000000"/>
                <w:sz w:val="18"/>
                <w:szCs w:val="18"/>
                <w:lang w:eastAsia="pt-BR"/>
              </w:rPr>
              <w:t>,00%</w:t>
            </w:r>
          </w:p>
        </w:tc>
      </w:tr>
      <w:tr w:rsidR="00167685" w:rsidRPr="00904FA8" w14:paraId="292EF824" w14:textId="77777777" w:rsidTr="00D3145F">
        <w:trPr>
          <w:trHeight w:val="300"/>
          <w:jc w:val="center"/>
        </w:trPr>
        <w:tc>
          <w:tcPr>
            <w:tcW w:w="1694" w:type="dxa"/>
            <w:vMerge/>
            <w:tcBorders>
              <w:top w:val="single" w:sz="8" w:space="0" w:color="000000"/>
              <w:left w:val="single" w:sz="8" w:space="0" w:color="000000"/>
              <w:bottom w:val="single" w:sz="4" w:space="0" w:color="000000"/>
              <w:right w:val="single" w:sz="4" w:space="0" w:color="000000"/>
            </w:tcBorders>
            <w:vAlign w:val="center"/>
            <w:hideMark/>
          </w:tcPr>
          <w:p w14:paraId="16F33B1D"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nil"/>
              <w:right w:val="single" w:sz="4" w:space="0" w:color="000000"/>
            </w:tcBorders>
            <w:shd w:val="clear" w:color="auto" w:fill="auto"/>
            <w:vAlign w:val="center"/>
            <w:hideMark/>
          </w:tcPr>
          <w:p w14:paraId="0C2F795E" w14:textId="77777777" w:rsidR="00167685" w:rsidRPr="008E3A2F"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FI de Debêntures de infraestrutura</w:t>
            </w:r>
          </w:p>
        </w:tc>
        <w:tc>
          <w:tcPr>
            <w:tcW w:w="1472" w:type="dxa"/>
            <w:tcBorders>
              <w:top w:val="nil"/>
              <w:left w:val="nil"/>
              <w:bottom w:val="nil"/>
              <w:right w:val="single" w:sz="4" w:space="0" w:color="000000"/>
            </w:tcBorders>
            <w:shd w:val="clear" w:color="auto" w:fill="auto"/>
            <w:vAlign w:val="center"/>
            <w:hideMark/>
          </w:tcPr>
          <w:p w14:paraId="144FB69C"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7°, V, "c"</w:t>
            </w:r>
          </w:p>
        </w:tc>
        <w:tc>
          <w:tcPr>
            <w:tcW w:w="1134" w:type="dxa"/>
            <w:tcBorders>
              <w:top w:val="nil"/>
              <w:left w:val="nil"/>
              <w:bottom w:val="nil"/>
              <w:right w:val="single" w:sz="4" w:space="0" w:color="000000"/>
            </w:tcBorders>
            <w:shd w:val="clear" w:color="auto" w:fill="auto"/>
            <w:vAlign w:val="center"/>
            <w:hideMark/>
          </w:tcPr>
          <w:p w14:paraId="511D3FA2"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5,00%</w:t>
            </w:r>
          </w:p>
        </w:tc>
        <w:tc>
          <w:tcPr>
            <w:tcW w:w="1701" w:type="dxa"/>
            <w:tcBorders>
              <w:top w:val="nil"/>
              <w:left w:val="nil"/>
              <w:bottom w:val="nil"/>
              <w:right w:val="single" w:sz="4" w:space="0" w:color="000000"/>
            </w:tcBorders>
            <w:shd w:val="clear" w:color="auto" w:fill="auto"/>
            <w:vAlign w:val="center"/>
            <w:hideMark/>
          </w:tcPr>
          <w:p w14:paraId="6A1F1632"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nil"/>
              <w:right w:val="single" w:sz="4" w:space="0" w:color="000000"/>
            </w:tcBorders>
            <w:shd w:val="clear" w:color="auto" w:fill="auto"/>
            <w:hideMark/>
          </w:tcPr>
          <w:p w14:paraId="45A36F07" w14:textId="7FC2E18A"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0,00%</w:t>
            </w:r>
          </w:p>
        </w:tc>
        <w:tc>
          <w:tcPr>
            <w:tcW w:w="2126" w:type="dxa"/>
            <w:tcBorders>
              <w:top w:val="nil"/>
              <w:left w:val="nil"/>
              <w:bottom w:val="nil"/>
              <w:right w:val="single" w:sz="8" w:space="0" w:color="000000"/>
            </w:tcBorders>
            <w:shd w:val="clear" w:color="auto" w:fill="auto"/>
            <w:hideMark/>
          </w:tcPr>
          <w:p w14:paraId="29E74AD8" w14:textId="037DA8AF"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6812">
              <w:rPr>
                <w:rFonts w:asciiTheme="minorHAnsi" w:eastAsia="Times New Roman" w:hAnsiTheme="minorHAnsi" w:cstheme="minorHAnsi"/>
                <w:color w:val="000000"/>
                <w:sz w:val="18"/>
                <w:szCs w:val="18"/>
                <w:lang w:eastAsia="pt-BR"/>
              </w:rPr>
              <w:t>0,00%</w:t>
            </w:r>
          </w:p>
        </w:tc>
      </w:tr>
      <w:tr w:rsidR="00167685" w:rsidRPr="00904FA8" w14:paraId="6726F480" w14:textId="77777777" w:rsidTr="00D3145F">
        <w:trPr>
          <w:trHeight w:val="300"/>
          <w:jc w:val="center"/>
        </w:trPr>
        <w:tc>
          <w:tcPr>
            <w:tcW w:w="1694" w:type="dxa"/>
            <w:vMerge w:val="restart"/>
            <w:tcBorders>
              <w:top w:val="single" w:sz="8" w:space="0" w:color="000000"/>
              <w:left w:val="single" w:sz="8" w:space="0" w:color="000000"/>
              <w:bottom w:val="single" w:sz="8" w:space="0" w:color="000000"/>
              <w:right w:val="single" w:sz="4" w:space="0" w:color="000000"/>
            </w:tcBorders>
            <w:shd w:val="clear" w:color="000000" w:fill="195689"/>
            <w:noWrap/>
            <w:vAlign w:val="center"/>
            <w:hideMark/>
          </w:tcPr>
          <w:p w14:paraId="09F25559" w14:textId="77777777" w:rsidR="00167685" w:rsidRPr="00904FA8" w:rsidRDefault="00167685" w:rsidP="00167685">
            <w:pPr>
              <w:spacing w:after="0" w:line="240" w:lineRule="auto"/>
              <w:ind w:right="-568" w:hanging="509"/>
              <w:jc w:val="center"/>
              <w:rPr>
                <w:rFonts w:asciiTheme="minorHAnsi" w:eastAsia="Times New Roman" w:hAnsiTheme="minorHAnsi" w:cstheme="minorHAnsi"/>
                <w:b/>
                <w:bCs/>
                <w:color w:val="FFFFFF"/>
                <w:sz w:val="18"/>
                <w:szCs w:val="18"/>
                <w:lang w:eastAsia="pt-BR"/>
              </w:rPr>
            </w:pPr>
            <w:r w:rsidRPr="00904FA8">
              <w:rPr>
                <w:rFonts w:asciiTheme="minorHAnsi" w:eastAsia="Times New Roman" w:hAnsiTheme="minorHAnsi" w:cstheme="minorHAnsi"/>
                <w:b/>
                <w:bCs/>
                <w:color w:val="FFFFFF"/>
                <w:sz w:val="18"/>
                <w:szCs w:val="18"/>
                <w:lang w:eastAsia="pt-BR"/>
              </w:rPr>
              <w:t>RENDA VARIÁVEL</w:t>
            </w:r>
          </w:p>
        </w:tc>
        <w:tc>
          <w:tcPr>
            <w:tcW w:w="3345" w:type="dxa"/>
            <w:tcBorders>
              <w:top w:val="single" w:sz="8" w:space="0" w:color="000000"/>
              <w:left w:val="nil"/>
              <w:bottom w:val="single" w:sz="4" w:space="0" w:color="000000"/>
              <w:right w:val="single" w:sz="4" w:space="0" w:color="000000"/>
            </w:tcBorders>
            <w:shd w:val="clear" w:color="auto" w:fill="auto"/>
            <w:vAlign w:val="center"/>
            <w:hideMark/>
          </w:tcPr>
          <w:p w14:paraId="30C0E9C3" w14:textId="77777777" w:rsidR="00167685" w:rsidRPr="008E3A2F"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FI de Ações</w:t>
            </w:r>
          </w:p>
        </w:tc>
        <w:tc>
          <w:tcPr>
            <w:tcW w:w="1472" w:type="dxa"/>
            <w:tcBorders>
              <w:top w:val="single" w:sz="8" w:space="0" w:color="000000"/>
              <w:left w:val="nil"/>
              <w:bottom w:val="single" w:sz="4" w:space="0" w:color="000000"/>
              <w:right w:val="single" w:sz="4" w:space="0" w:color="000000"/>
            </w:tcBorders>
            <w:shd w:val="clear" w:color="auto" w:fill="auto"/>
            <w:vAlign w:val="center"/>
            <w:hideMark/>
          </w:tcPr>
          <w:p w14:paraId="73D49AAE"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8, I</w:t>
            </w:r>
          </w:p>
        </w:tc>
        <w:tc>
          <w:tcPr>
            <w:tcW w:w="1134" w:type="dxa"/>
            <w:tcBorders>
              <w:top w:val="single" w:sz="8" w:space="0" w:color="000000"/>
              <w:left w:val="nil"/>
              <w:bottom w:val="single" w:sz="4" w:space="0" w:color="000000"/>
              <w:right w:val="single" w:sz="4" w:space="0" w:color="000000"/>
            </w:tcBorders>
            <w:shd w:val="clear" w:color="auto" w:fill="auto"/>
            <w:vAlign w:val="center"/>
            <w:hideMark/>
          </w:tcPr>
          <w:p w14:paraId="3E3EF1EF"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30,00%</w:t>
            </w:r>
          </w:p>
        </w:tc>
        <w:tc>
          <w:tcPr>
            <w:tcW w:w="1701" w:type="dxa"/>
            <w:tcBorders>
              <w:top w:val="single" w:sz="8" w:space="0" w:color="000000"/>
              <w:left w:val="nil"/>
              <w:bottom w:val="single" w:sz="4" w:space="0" w:color="000000"/>
              <w:right w:val="single" w:sz="4" w:space="0" w:color="000000"/>
            </w:tcBorders>
            <w:shd w:val="clear" w:color="auto" w:fill="auto"/>
            <w:vAlign w:val="center"/>
            <w:hideMark/>
          </w:tcPr>
          <w:p w14:paraId="0FD426E2"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single" w:sz="8" w:space="0" w:color="000000"/>
              <w:left w:val="nil"/>
              <w:bottom w:val="single" w:sz="4" w:space="0" w:color="000000"/>
              <w:right w:val="single" w:sz="4" w:space="0" w:color="000000"/>
            </w:tcBorders>
            <w:shd w:val="clear" w:color="auto" w:fill="auto"/>
            <w:hideMark/>
          </w:tcPr>
          <w:p w14:paraId="58E46366" w14:textId="45795410"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Pr>
                <w:sz w:val="18"/>
                <w:szCs w:val="18"/>
              </w:rPr>
              <w:t>15,00</w:t>
            </w:r>
            <w:r w:rsidRPr="00191D48">
              <w:rPr>
                <w:sz w:val="18"/>
                <w:szCs w:val="18"/>
              </w:rPr>
              <w:t>%</w:t>
            </w:r>
          </w:p>
        </w:tc>
        <w:tc>
          <w:tcPr>
            <w:tcW w:w="2126" w:type="dxa"/>
            <w:tcBorders>
              <w:top w:val="single" w:sz="8" w:space="0" w:color="000000"/>
              <w:left w:val="nil"/>
              <w:bottom w:val="single" w:sz="4" w:space="0" w:color="000000"/>
              <w:right w:val="single" w:sz="8" w:space="0" w:color="000000"/>
            </w:tcBorders>
            <w:shd w:val="clear" w:color="auto" w:fill="auto"/>
            <w:hideMark/>
          </w:tcPr>
          <w:p w14:paraId="4CC61BD7" w14:textId="765D74D2"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Pr>
                <w:rFonts w:asciiTheme="minorHAnsi" w:eastAsia="Times New Roman" w:hAnsiTheme="minorHAnsi" w:cstheme="minorHAnsi"/>
                <w:color w:val="000000"/>
                <w:sz w:val="18"/>
                <w:szCs w:val="18"/>
                <w:lang w:eastAsia="pt-BR"/>
              </w:rPr>
              <w:t>20</w:t>
            </w:r>
            <w:r w:rsidRPr="00906812">
              <w:rPr>
                <w:rFonts w:asciiTheme="minorHAnsi" w:eastAsia="Times New Roman" w:hAnsiTheme="minorHAnsi" w:cstheme="minorHAnsi"/>
                <w:color w:val="000000"/>
                <w:sz w:val="18"/>
                <w:szCs w:val="18"/>
                <w:lang w:eastAsia="pt-BR"/>
              </w:rPr>
              <w:t>,00%</w:t>
            </w:r>
          </w:p>
        </w:tc>
      </w:tr>
      <w:tr w:rsidR="00167685" w:rsidRPr="00904FA8" w14:paraId="7422B5DA" w14:textId="77777777" w:rsidTr="00D3145F">
        <w:trPr>
          <w:trHeight w:val="300"/>
          <w:jc w:val="center"/>
        </w:trPr>
        <w:tc>
          <w:tcPr>
            <w:tcW w:w="1694" w:type="dxa"/>
            <w:vMerge/>
            <w:tcBorders>
              <w:top w:val="single" w:sz="8" w:space="0" w:color="000000"/>
              <w:left w:val="single" w:sz="8" w:space="0" w:color="000000"/>
              <w:bottom w:val="single" w:sz="8" w:space="0" w:color="000000"/>
              <w:right w:val="single" w:sz="4" w:space="0" w:color="000000"/>
            </w:tcBorders>
            <w:vAlign w:val="center"/>
            <w:hideMark/>
          </w:tcPr>
          <w:p w14:paraId="5C7EB3D5"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8" w:space="0" w:color="000000"/>
              <w:right w:val="single" w:sz="4" w:space="0" w:color="000000"/>
            </w:tcBorders>
            <w:shd w:val="clear" w:color="auto" w:fill="auto"/>
            <w:vAlign w:val="center"/>
            <w:hideMark/>
          </w:tcPr>
          <w:p w14:paraId="03C5CA59" w14:textId="77777777" w:rsidR="00167685" w:rsidRPr="008E3A2F"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ETF – Índices de ações</w:t>
            </w:r>
          </w:p>
        </w:tc>
        <w:tc>
          <w:tcPr>
            <w:tcW w:w="1472" w:type="dxa"/>
            <w:tcBorders>
              <w:top w:val="nil"/>
              <w:left w:val="nil"/>
              <w:bottom w:val="single" w:sz="8" w:space="0" w:color="000000"/>
              <w:right w:val="single" w:sz="4" w:space="0" w:color="000000"/>
            </w:tcBorders>
            <w:shd w:val="clear" w:color="auto" w:fill="auto"/>
            <w:vAlign w:val="center"/>
            <w:hideMark/>
          </w:tcPr>
          <w:p w14:paraId="55F0753F"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8°, II</w:t>
            </w:r>
          </w:p>
        </w:tc>
        <w:tc>
          <w:tcPr>
            <w:tcW w:w="1134" w:type="dxa"/>
            <w:tcBorders>
              <w:top w:val="nil"/>
              <w:left w:val="nil"/>
              <w:bottom w:val="single" w:sz="8" w:space="0" w:color="000000"/>
              <w:right w:val="single" w:sz="4" w:space="0" w:color="000000"/>
            </w:tcBorders>
            <w:shd w:val="clear" w:color="auto" w:fill="auto"/>
            <w:vAlign w:val="center"/>
            <w:hideMark/>
          </w:tcPr>
          <w:p w14:paraId="04CEE594"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30,00%</w:t>
            </w:r>
          </w:p>
        </w:tc>
        <w:tc>
          <w:tcPr>
            <w:tcW w:w="1701" w:type="dxa"/>
            <w:tcBorders>
              <w:top w:val="nil"/>
              <w:left w:val="nil"/>
              <w:bottom w:val="single" w:sz="8" w:space="0" w:color="000000"/>
              <w:right w:val="single" w:sz="4" w:space="0" w:color="000000"/>
            </w:tcBorders>
            <w:shd w:val="clear" w:color="auto" w:fill="auto"/>
            <w:vAlign w:val="center"/>
            <w:hideMark/>
          </w:tcPr>
          <w:p w14:paraId="104A23A1"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8" w:space="0" w:color="000000"/>
              <w:right w:val="single" w:sz="4" w:space="0" w:color="000000"/>
            </w:tcBorders>
            <w:shd w:val="clear" w:color="auto" w:fill="auto"/>
            <w:hideMark/>
          </w:tcPr>
          <w:p w14:paraId="07458832" w14:textId="439674D3"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0,00%</w:t>
            </w:r>
          </w:p>
        </w:tc>
        <w:tc>
          <w:tcPr>
            <w:tcW w:w="2126" w:type="dxa"/>
            <w:tcBorders>
              <w:top w:val="nil"/>
              <w:left w:val="nil"/>
              <w:bottom w:val="single" w:sz="8" w:space="0" w:color="000000"/>
              <w:right w:val="single" w:sz="8" w:space="0" w:color="000000"/>
            </w:tcBorders>
            <w:shd w:val="clear" w:color="auto" w:fill="auto"/>
            <w:hideMark/>
          </w:tcPr>
          <w:p w14:paraId="11869C31" w14:textId="45D39453"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Pr>
                <w:rFonts w:asciiTheme="minorHAnsi" w:eastAsia="Times New Roman" w:hAnsiTheme="minorHAnsi" w:cstheme="minorHAnsi"/>
                <w:color w:val="000000"/>
                <w:sz w:val="18"/>
                <w:szCs w:val="18"/>
                <w:lang w:eastAsia="pt-BR"/>
              </w:rPr>
              <w:t>2</w:t>
            </w:r>
            <w:r w:rsidRPr="00906812">
              <w:rPr>
                <w:rFonts w:asciiTheme="minorHAnsi" w:eastAsia="Times New Roman" w:hAnsiTheme="minorHAnsi" w:cstheme="minorHAnsi"/>
                <w:color w:val="000000"/>
                <w:sz w:val="18"/>
                <w:szCs w:val="18"/>
                <w:lang w:eastAsia="pt-BR"/>
              </w:rPr>
              <w:t>,00%</w:t>
            </w:r>
          </w:p>
        </w:tc>
      </w:tr>
      <w:tr w:rsidR="00167685" w:rsidRPr="00904FA8" w14:paraId="07C8E50F" w14:textId="77777777" w:rsidTr="00D3145F">
        <w:trPr>
          <w:trHeight w:val="300"/>
          <w:jc w:val="center"/>
        </w:trPr>
        <w:tc>
          <w:tcPr>
            <w:tcW w:w="1694" w:type="dxa"/>
            <w:vMerge w:val="restart"/>
            <w:tcBorders>
              <w:top w:val="nil"/>
              <w:left w:val="single" w:sz="8" w:space="0" w:color="000000"/>
              <w:bottom w:val="single" w:sz="8" w:space="0" w:color="000000"/>
              <w:right w:val="single" w:sz="4" w:space="0" w:color="000000"/>
            </w:tcBorders>
            <w:shd w:val="clear" w:color="000000" w:fill="195689"/>
            <w:noWrap/>
            <w:vAlign w:val="center"/>
            <w:hideMark/>
          </w:tcPr>
          <w:p w14:paraId="72A752EB" w14:textId="77777777" w:rsidR="00167685" w:rsidRPr="00904FA8" w:rsidRDefault="00167685" w:rsidP="00167685">
            <w:pPr>
              <w:spacing w:after="0" w:line="240" w:lineRule="auto"/>
              <w:ind w:right="-568" w:hanging="509"/>
              <w:jc w:val="center"/>
              <w:rPr>
                <w:rFonts w:asciiTheme="minorHAnsi" w:eastAsia="Times New Roman" w:hAnsiTheme="minorHAnsi" w:cstheme="minorHAnsi"/>
                <w:b/>
                <w:bCs/>
                <w:color w:val="FFFFFF"/>
                <w:sz w:val="18"/>
                <w:szCs w:val="18"/>
                <w:lang w:eastAsia="pt-BR"/>
              </w:rPr>
            </w:pPr>
            <w:r w:rsidRPr="00904FA8">
              <w:rPr>
                <w:rFonts w:asciiTheme="minorHAnsi" w:eastAsia="Times New Roman" w:hAnsiTheme="minorHAnsi" w:cstheme="minorHAnsi"/>
                <w:b/>
                <w:bCs/>
                <w:color w:val="FFFFFF"/>
                <w:sz w:val="18"/>
                <w:szCs w:val="18"/>
                <w:lang w:eastAsia="pt-BR"/>
              </w:rPr>
              <w:t>EXTERIOR</w:t>
            </w:r>
          </w:p>
        </w:tc>
        <w:tc>
          <w:tcPr>
            <w:tcW w:w="3345" w:type="dxa"/>
            <w:tcBorders>
              <w:top w:val="nil"/>
              <w:left w:val="nil"/>
              <w:bottom w:val="single" w:sz="4" w:space="0" w:color="000000"/>
              <w:right w:val="single" w:sz="4" w:space="0" w:color="000000"/>
            </w:tcBorders>
            <w:shd w:val="clear" w:color="auto" w:fill="auto"/>
            <w:vAlign w:val="center"/>
            <w:hideMark/>
          </w:tcPr>
          <w:p w14:paraId="182502C6" w14:textId="77777777" w:rsidR="00167685" w:rsidRPr="008E3A2F"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Renda Fixa - Dívida Externa</w:t>
            </w:r>
          </w:p>
        </w:tc>
        <w:tc>
          <w:tcPr>
            <w:tcW w:w="1472" w:type="dxa"/>
            <w:tcBorders>
              <w:top w:val="nil"/>
              <w:left w:val="nil"/>
              <w:bottom w:val="single" w:sz="4" w:space="0" w:color="000000"/>
              <w:right w:val="single" w:sz="4" w:space="0" w:color="000000"/>
            </w:tcBorders>
            <w:shd w:val="clear" w:color="auto" w:fill="auto"/>
            <w:vAlign w:val="center"/>
            <w:hideMark/>
          </w:tcPr>
          <w:p w14:paraId="5EE83414"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9°, I</w:t>
            </w:r>
          </w:p>
        </w:tc>
        <w:tc>
          <w:tcPr>
            <w:tcW w:w="1134" w:type="dxa"/>
            <w:tcBorders>
              <w:top w:val="nil"/>
              <w:left w:val="nil"/>
              <w:bottom w:val="single" w:sz="4" w:space="0" w:color="000000"/>
              <w:right w:val="single" w:sz="4" w:space="0" w:color="000000"/>
            </w:tcBorders>
            <w:shd w:val="clear" w:color="auto" w:fill="auto"/>
            <w:vAlign w:val="center"/>
            <w:hideMark/>
          </w:tcPr>
          <w:p w14:paraId="0D22CE6B"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10,00%</w:t>
            </w:r>
          </w:p>
        </w:tc>
        <w:tc>
          <w:tcPr>
            <w:tcW w:w="1701" w:type="dxa"/>
            <w:tcBorders>
              <w:top w:val="nil"/>
              <w:left w:val="nil"/>
              <w:bottom w:val="single" w:sz="4" w:space="0" w:color="000000"/>
              <w:right w:val="single" w:sz="4" w:space="0" w:color="000000"/>
            </w:tcBorders>
            <w:shd w:val="clear" w:color="auto" w:fill="auto"/>
            <w:vAlign w:val="center"/>
            <w:hideMark/>
          </w:tcPr>
          <w:p w14:paraId="0B55889C"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6B6682D0" w14:textId="262BAB80"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56B563F7" w14:textId="7FF3D79A"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6812">
              <w:rPr>
                <w:rFonts w:asciiTheme="minorHAnsi" w:eastAsia="Times New Roman" w:hAnsiTheme="minorHAnsi" w:cstheme="minorHAnsi"/>
                <w:color w:val="000000"/>
                <w:sz w:val="18"/>
                <w:szCs w:val="18"/>
                <w:lang w:eastAsia="pt-BR"/>
              </w:rPr>
              <w:t>0,00%</w:t>
            </w:r>
          </w:p>
        </w:tc>
      </w:tr>
      <w:tr w:rsidR="00167685" w:rsidRPr="00904FA8" w14:paraId="4B4B1FC4" w14:textId="77777777" w:rsidTr="00D3145F">
        <w:trPr>
          <w:trHeight w:val="300"/>
          <w:jc w:val="center"/>
        </w:trPr>
        <w:tc>
          <w:tcPr>
            <w:tcW w:w="1694" w:type="dxa"/>
            <w:vMerge/>
            <w:tcBorders>
              <w:top w:val="nil"/>
              <w:left w:val="single" w:sz="8" w:space="0" w:color="000000"/>
              <w:bottom w:val="single" w:sz="8" w:space="0" w:color="000000"/>
              <w:right w:val="single" w:sz="4" w:space="0" w:color="000000"/>
            </w:tcBorders>
            <w:vAlign w:val="center"/>
            <w:hideMark/>
          </w:tcPr>
          <w:p w14:paraId="41081A42"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6EE43D73" w14:textId="77777777" w:rsidR="00167685" w:rsidRPr="008E3A2F"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Constituído no Brasil</w:t>
            </w:r>
          </w:p>
        </w:tc>
        <w:tc>
          <w:tcPr>
            <w:tcW w:w="1472" w:type="dxa"/>
            <w:tcBorders>
              <w:top w:val="nil"/>
              <w:left w:val="nil"/>
              <w:bottom w:val="single" w:sz="4" w:space="0" w:color="000000"/>
              <w:right w:val="single" w:sz="4" w:space="0" w:color="000000"/>
            </w:tcBorders>
            <w:shd w:val="clear" w:color="auto" w:fill="auto"/>
            <w:vAlign w:val="center"/>
            <w:hideMark/>
          </w:tcPr>
          <w:p w14:paraId="45165F0F"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9°, II</w:t>
            </w:r>
          </w:p>
        </w:tc>
        <w:tc>
          <w:tcPr>
            <w:tcW w:w="1134" w:type="dxa"/>
            <w:tcBorders>
              <w:top w:val="nil"/>
              <w:left w:val="nil"/>
              <w:bottom w:val="single" w:sz="4" w:space="0" w:color="000000"/>
              <w:right w:val="single" w:sz="4" w:space="0" w:color="000000"/>
            </w:tcBorders>
            <w:shd w:val="clear" w:color="auto" w:fill="auto"/>
            <w:vAlign w:val="center"/>
            <w:hideMark/>
          </w:tcPr>
          <w:p w14:paraId="0649AD13"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10,00%</w:t>
            </w:r>
          </w:p>
        </w:tc>
        <w:tc>
          <w:tcPr>
            <w:tcW w:w="1701" w:type="dxa"/>
            <w:tcBorders>
              <w:top w:val="nil"/>
              <w:left w:val="nil"/>
              <w:bottom w:val="single" w:sz="4" w:space="0" w:color="000000"/>
              <w:right w:val="single" w:sz="4" w:space="0" w:color="000000"/>
            </w:tcBorders>
            <w:shd w:val="clear" w:color="auto" w:fill="auto"/>
            <w:vAlign w:val="center"/>
            <w:hideMark/>
          </w:tcPr>
          <w:p w14:paraId="53817796"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28D58C7C" w14:textId="3987FD34"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237B4678" w14:textId="5738A8F9"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6812">
              <w:rPr>
                <w:rFonts w:asciiTheme="minorHAnsi" w:eastAsia="Times New Roman" w:hAnsiTheme="minorHAnsi" w:cstheme="minorHAnsi"/>
                <w:color w:val="000000"/>
                <w:sz w:val="18"/>
                <w:szCs w:val="18"/>
                <w:lang w:eastAsia="pt-BR"/>
              </w:rPr>
              <w:t>0,00%</w:t>
            </w:r>
          </w:p>
        </w:tc>
      </w:tr>
      <w:tr w:rsidR="00167685" w:rsidRPr="00904FA8" w14:paraId="5F218D77" w14:textId="77777777" w:rsidTr="00D3145F">
        <w:trPr>
          <w:trHeight w:val="300"/>
          <w:jc w:val="center"/>
        </w:trPr>
        <w:tc>
          <w:tcPr>
            <w:tcW w:w="1694" w:type="dxa"/>
            <w:vMerge/>
            <w:tcBorders>
              <w:top w:val="nil"/>
              <w:left w:val="single" w:sz="8" w:space="0" w:color="000000"/>
              <w:bottom w:val="single" w:sz="8" w:space="0" w:color="000000"/>
              <w:right w:val="single" w:sz="4" w:space="0" w:color="000000"/>
            </w:tcBorders>
            <w:vAlign w:val="center"/>
            <w:hideMark/>
          </w:tcPr>
          <w:p w14:paraId="1C0E888F"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8" w:space="0" w:color="000000"/>
              <w:right w:val="single" w:sz="4" w:space="0" w:color="000000"/>
            </w:tcBorders>
            <w:shd w:val="clear" w:color="auto" w:fill="auto"/>
            <w:vAlign w:val="center"/>
            <w:hideMark/>
          </w:tcPr>
          <w:p w14:paraId="74998E11" w14:textId="77777777" w:rsidR="00167685" w:rsidRPr="008E3A2F"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8E3A2F">
              <w:rPr>
                <w:rFonts w:asciiTheme="minorHAnsi" w:eastAsia="Times New Roman" w:hAnsiTheme="minorHAnsi" w:cstheme="minorHAnsi"/>
                <w:color w:val="000000"/>
                <w:sz w:val="18"/>
                <w:szCs w:val="18"/>
                <w:lang w:eastAsia="pt-BR"/>
              </w:rPr>
              <w:t>Ações - BDR Nível I</w:t>
            </w:r>
          </w:p>
        </w:tc>
        <w:tc>
          <w:tcPr>
            <w:tcW w:w="1472" w:type="dxa"/>
            <w:tcBorders>
              <w:top w:val="nil"/>
              <w:left w:val="nil"/>
              <w:bottom w:val="single" w:sz="8" w:space="0" w:color="000000"/>
              <w:right w:val="single" w:sz="4" w:space="0" w:color="000000"/>
            </w:tcBorders>
            <w:shd w:val="clear" w:color="auto" w:fill="auto"/>
            <w:vAlign w:val="center"/>
            <w:hideMark/>
          </w:tcPr>
          <w:p w14:paraId="41EC2440"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9°, III</w:t>
            </w:r>
          </w:p>
        </w:tc>
        <w:tc>
          <w:tcPr>
            <w:tcW w:w="1134" w:type="dxa"/>
            <w:tcBorders>
              <w:top w:val="nil"/>
              <w:left w:val="nil"/>
              <w:bottom w:val="single" w:sz="8" w:space="0" w:color="000000"/>
              <w:right w:val="single" w:sz="4" w:space="0" w:color="000000"/>
            </w:tcBorders>
            <w:shd w:val="clear" w:color="auto" w:fill="auto"/>
            <w:vAlign w:val="center"/>
            <w:hideMark/>
          </w:tcPr>
          <w:p w14:paraId="1B3791AE"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10,00%</w:t>
            </w:r>
          </w:p>
        </w:tc>
        <w:tc>
          <w:tcPr>
            <w:tcW w:w="1701" w:type="dxa"/>
            <w:tcBorders>
              <w:top w:val="nil"/>
              <w:left w:val="nil"/>
              <w:bottom w:val="single" w:sz="8" w:space="0" w:color="000000"/>
              <w:right w:val="single" w:sz="4" w:space="0" w:color="000000"/>
            </w:tcBorders>
            <w:shd w:val="clear" w:color="auto" w:fill="auto"/>
            <w:vAlign w:val="center"/>
            <w:hideMark/>
          </w:tcPr>
          <w:p w14:paraId="3DDC7F4D"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8" w:space="0" w:color="000000"/>
              <w:right w:val="single" w:sz="4" w:space="0" w:color="000000"/>
            </w:tcBorders>
            <w:shd w:val="clear" w:color="auto" w:fill="auto"/>
            <w:hideMark/>
          </w:tcPr>
          <w:p w14:paraId="4F0C8490" w14:textId="19CE9438"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Pr>
                <w:sz w:val="18"/>
                <w:szCs w:val="18"/>
              </w:rPr>
              <w:t>3</w:t>
            </w:r>
            <w:r w:rsidRPr="00191D48">
              <w:rPr>
                <w:sz w:val="18"/>
                <w:szCs w:val="18"/>
              </w:rPr>
              <w:t>,00%</w:t>
            </w:r>
          </w:p>
        </w:tc>
        <w:tc>
          <w:tcPr>
            <w:tcW w:w="2126" w:type="dxa"/>
            <w:tcBorders>
              <w:top w:val="nil"/>
              <w:left w:val="nil"/>
              <w:bottom w:val="single" w:sz="8" w:space="0" w:color="000000"/>
              <w:right w:val="single" w:sz="8" w:space="0" w:color="000000"/>
            </w:tcBorders>
            <w:shd w:val="clear" w:color="auto" w:fill="auto"/>
            <w:hideMark/>
          </w:tcPr>
          <w:p w14:paraId="2E466F1E" w14:textId="46F4EA9B"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Pr>
                <w:rFonts w:asciiTheme="minorHAnsi" w:eastAsia="Times New Roman" w:hAnsiTheme="minorHAnsi" w:cstheme="minorHAnsi"/>
                <w:color w:val="000000"/>
                <w:sz w:val="18"/>
                <w:szCs w:val="18"/>
                <w:lang w:eastAsia="pt-BR"/>
              </w:rPr>
              <w:t>5</w:t>
            </w:r>
            <w:r w:rsidRPr="00906812">
              <w:rPr>
                <w:rFonts w:asciiTheme="minorHAnsi" w:eastAsia="Times New Roman" w:hAnsiTheme="minorHAnsi" w:cstheme="minorHAnsi"/>
                <w:color w:val="000000"/>
                <w:sz w:val="18"/>
                <w:szCs w:val="18"/>
                <w:lang w:eastAsia="pt-BR"/>
              </w:rPr>
              <w:t>,00%</w:t>
            </w:r>
          </w:p>
        </w:tc>
      </w:tr>
      <w:tr w:rsidR="00167685" w:rsidRPr="00904FA8" w14:paraId="2CC66BBF" w14:textId="77777777" w:rsidTr="00D3145F">
        <w:trPr>
          <w:trHeight w:val="300"/>
          <w:jc w:val="center"/>
        </w:trPr>
        <w:tc>
          <w:tcPr>
            <w:tcW w:w="1694" w:type="dxa"/>
            <w:vMerge w:val="restart"/>
            <w:tcBorders>
              <w:top w:val="nil"/>
              <w:left w:val="single" w:sz="8" w:space="0" w:color="000000"/>
              <w:bottom w:val="single" w:sz="4" w:space="0" w:color="000000"/>
              <w:right w:val="single" w:sz="4" w:space="0" w:color="000000"/>
            </w:tcBorders>
            <w:shd w:val="clear" w:color="000000" w:fill="195689"/>
            <w:noWrap/>
            <w:vAlign w:val="center"/>
            <w:hideMark/>
          </w:tcPr>
          <w:p w14:paraId="253CF795" w14:textId="77777777" w:rsidR="00167685" w:rsidRPr="00904FA8" w:rsidRDefault="00167685" w:rsidP="00167685">
            <w:pPr>
              <w:spacing w:after="0" w:line="240" w:lineRule="auto"/>
              <w:ind w:right="-568" w:hanging="509"/>
              <w:jc w:val="center"/>
              <w:rPr>
                <w:rFonts w:asciiTheme="minorHAnsi" w:eastAsia="Times New Roman" w:hAnsiTheme="minorHAnsi" w:cstheme="minorHAnsi"/>
                <w:b/>
                <w:bCs/>
                <w:color w:val="FFFFFF"/>
                <w:sz w:val="18"/>
                <w:szCs w:val="18"/>
                <w:lang w:eastAsia="pt-BR"/>
              </w:rPr>
            </w:pPr>
            <w:r w:rsidRPr="00904FA8">
              <w:rPr>
                <w:rFonts w:asciiTheme="minorHAnsi" w:eastAsia="Times New Roman" w:hAnsiTheme="minorHAnsi" w:cstheme="minorHAnsi"/>
                <w:b/>
                <w:bCs/>
                <w:color w:val="FFFFFF"/>
                <w:sz w:val="18"/>
                <w:szCs w:val="18"/>
                <w:lang w:eastAsia="pt-BR"/>
              </w:rPr>
              <w:t>ESTRUTURADO</w:t>
            </w:r>
          </w:p>
        </w:tc>
        <w:tc>
          <w:tcPr>
            <w:tcW w:w="3345" w:type="dxa"/>
            <w:tcBorders>
              <w:top w:val="nil"/>
              <w:left w:val="nil"/>
              <w:bottom w:val="single" w:sz="4" w:space="0" w:color="000000"/>
              <w:right w:val="single" w:sz="4" w:space="0" w:color="000000"/>
            </w:tcBorders>
            <w:shd w:val="clear" w:color="auto" w:fill="auto"/>
            <w:vAlign w:val="center"/>
            <w:hideMark/>
          </w:tcPr>
          <w:p w14:paraId="2EF2D171" w14:textId="77777777" w:rsidR="00167685" w:rsidRPr="00904FA8"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Pr>
                <w:rFonts w:asciiTheme="minorHAnsi" w:eastAsia="Times New Roman" w:hAnsiTheme="minorHAnsi" w:cstheme="minorHAnsi"/>
                <w:color w:val="000000"/>
                <w:sz w:val="18"/>
                <w:szCs w:val="18"/>
                <w:lang w:eastAsia="pt-BR"/>
              </w:rPr>
              <w:t>FI</w:t>
            </w:r>
            <w:r w:rsidRPr="00904FA8">
              <w:rPr>
                <w:rFonts w:asciiTheme="minorHAnsi" w:eastAsia="Times New Roman" w:hAnsiTheme="minorHAnsi" w:cstheme="minorHAnsi"/>
                <w:color w:val="000000"/>
                <w:sz w:val="18"/>
                <w:szCs w:val="18"/>
                <w:lang w:eastAsia="pt-BR"/>
              </w:rPr>
              <w:t xml:space="preserve"> Multimercados</w:t>
            </w:r>
          </w:p>
        </w:tc>
        <w:tc>
          <w:tcPr>
            <w:tcW w:w="1472" w:type="dxa"/>
            <w:tcBorders>
              <w:top w:val="nil"/>
              <w:left w:val="nil"/>
              <w:bottom w:val="single" w:sz="4" w:space="0" w:color="000000"/>
              <w:right w:val="single" w:sz="4" w:space="0" w:color="000000"/>
            </w:tcBorders>
            <w:shd w:val="clear" w:color="auto" w:fill="auto"/>
            <w:vAlign w:val="center"/>
            <w:hideMark/>
          </w:tcPr>
          <w:p w14:paraId="3459AC60"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10, I</w:t>
            </w:r>
          </w:p>
        </w:tc>
        <w:tc>
          <w:tcPr>
            <w:tcW w:w="1134" w:type="dxa"/>
            <w:tcBorders>
              <w:top w:val="nil"/>
              <w:left w:val="nil"/>
              <w:bottom w:val="single" w:sz="4" w:space="0" w:color="000000"/>
              <w:right w:val="single" w:sz="4" w:space="0" w:color="000000"/>
            </w:tcBorders>
            <w:shd w:val="clear" w:color="auto" w:fill="auto"/>
            <w:vAlign w:val="center"/>
            <w:hideMark/>
          </w:tcPr>
          <w:p w14:paraId="6F36ADEC"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10,00%</w:t>
            </w:r>
          </w:p>
        </w:tc>
        <w:tc>
          <w:tcPr>
            <w:tcW w:w="1701" w:type="dxa"/>
            <w:tcBorders>
              <w:top w:val="nil"/>
              <w:left w:val="nil"/>
              <w:bottom w:val="single" w:sz="4" w:space="0" w:color="000000"/>
              <w:right w:val="single" w:sz="4" w:space="0" w:color="000000"/>
            </w:tcBorders>
            <w:shd w:val="clear" w:color="auto" w:fill="auto"/>
            <w:vAlign w:val="center"/>
            <w:hideMark/>
          </w:tcPr>
          <w:p w14:paraId="1FBB28C7"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6A181F73" w14:textId="0E04608F"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Pr>
                <w:sz w:val="18"/>
                <w:szCs w:val="18"/>
              </w:rPr>
              <w:t>9</w:t>
            </w:r>
            <w:r w:rsidRPr="00191D48">
              <w:rPr>
                <w:sz w:val="18"/>
                <w:szCs w:val="18"/>
              </w:rPr>
              <w:t>,00%</w:t>
            </w:r>
          </w:p>
        </w:tc>
        <w:tc>
          <w:tcPr>
            <w:tcW w:w="2126" w:type="dxa"/>
            <w:tcBorders>
              <w:top w:val="nil"/>
              <w:left w:val="nil"/>
              <w:bottom w:val="single" w:sz="4" w:space="0" w:color="000000"/>
              <w:right w:val="single" w:sz="8" w:space="0" w:color="000000"/>
            </w:tcBorders>
            <w:shd w:val="clear" w:color="auto" w:fill="auto"/>
            <w:hideMark/>
          </w:tcPr>
          <w:p w14:paraId="3A7B71B8" w14:textId="15E0B130"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Pr>
                <w:rFonts w:asciiTheme="minorHAnsi" w:eastAsia="Times New Roman" w:hAnsiTheme="minorHAnsi" w:cstheme="minorHAnsi"/>
                <w:color w:val="000000"/>
                <w:sz w:val="18"/>
                <w:szCs w:val="18"/>
                <w:lang w:eastAsia="pt-BR"/>
              </w:rPr>
              <w:t>10</w:t>
            </w:r>
            <w:r w:rsidRPr="00906812">
              <w:rPr>
                <w:rFonts w:asciiTheme="minorHAnsi" w:eastAsia="Times New Roman" w:hAnsiTheme="minorHAnsi" w:cstheme="minorHAnsi"/>
                <w:color w:val="000000"/>
                <w:sz w:val="18"/>
                <w:szCs w:val="18"/>
                <w:lang w:eastAsia="pt-BR"/>
              </w:rPr>
              <w:t>,00%</w:t>
            </w:r>
          </w:p>
        </w:tc>
      </w:tr>
      <w:tr w:rsidR="00167685" w:rsidRPr="00904FA8" w14:paraId="58E0FD16" w14:textId="77777777" w:rsidTr="00D3145F">
        <w:trPr>
          <w:trHeight w:val="300"/>
          <w:jc w:val="center"/>
        </w:trPr>
        <w:tc>
          <w:tcPr>
            <w:tcW w:w="1694" w:type="dxa"/>
            <w:vMerge/>
            <w:tcBorders>
              <w:top w:val="nil"/>
              <w:left w:val="single" w:sz="8" w:space="0" w:color="000000"/>
              <w:bottom w:val="single" w:sz="4" w:space="0" w:color="000000"/>
              <w:right w:val="single" w:sz="4" w:space="0" w:color="000000"/>
            </w:tcBorders>
            <w:vAlign w:val="center"/>
            <w:hideMark/>
          </w:tcPr>
          <w:p w14:paraId="5320584D"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single" w:sz="4" w:space="0" w:color="000000"/>
              <w:right w:val="single" w:sz="4" w:space="0" w:color="000000"/>
            </w:tcBorders>
            <w:shd w:val="clear" w:color="auto" w:fill="auto"/>
            <w:vAlign w:val="center"/>
            <w:hideMark/>
          </w:tcPr>
          <w:p w14:paraId="1AE85A9E" w14:textId="77777777" w:rsidR="00167685" w:rsidRPr="00904FA8"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Pr>
                <w:rFonts w:asciiTheme="minorHAnsi" w:eastAsia="Times New Roman" w:hAnsiTheme="minorHAnsi" w:cstheme="minorHAnsi"/>
                <w:color w:val="000000"/>
                <w:sz w:val="18"/>
                <w:szCs w:val="18"/>
                <w:lang w:eastAsia="pt-BR"/>
              </w:rPr>
              <w:t>FI em Participações</w:t>
            </w:r>
          </w:p>
        </w:tc>
        <w:tc>
          <w:tcPr>
            <w:tcW w:w="1472" w:type="dxa"/>
            <w:tcBorders>
              <w:top w:val="nil"/>
              <w:left w:val="nil"/>
              <w:bottom w:val="single" w:sz="4" w:space="0" w:color="000000"/>
              <w:right w:val="single" w:sz="4" w:space="0" w:color="000000"/>
            </w:tcBorders>
            <w:shd w:val="clear" w:color="auto" w:fill="auto"/>
            <w:vAlign w:val="center"/>
            <w:hideMark/>
          </w:tcPr>
          <w:p w14:paraId="5EE90E4D"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10, II</w:t>
            </w:r>
          </w:p>
        </w:tc>
        <w:tc>
          <w:tcPr>
            <w:tcW w:w="1134" w:type="dxa"/>
            <w:tcBorders>
              <w:top w:val="nil"/>
              <w:left w:val="nil"/>
              <w:bottom w:val="single" w:sz="4" w:space="0" w:color="000000"/>
              <w:right w:val="single" w:sz="4" w:space="0" w:color="000000"/>
            </w:tcBorders>
            <w:shd w:val="clear" w:color="auto" w:fill="auto"/>
            <w:vAlign w:val="center"/>
            <w:hideMark/>
          </w:tcPr>
          <w:p w14:paraId="2DD694F0"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5,00%</w:t>
            </w:r>
          </w:p>
        </w:tc>
        <w:tc>
          <w:tcPr>
            <w:tcW w:w="1701" w:type="dxa"/>
            <w:tcBorders>
              <w:top w:val="nil"/>
              <w:left w:val="nil"/>
              <w:bottom w:val="single" w:sz="4" w:space="0" w:color="000000"/>
              <w:right w:val="single" w:sz="4" w:space="0" w:color="000000"/>
            </w:tcBorders>
            <w:shd w:val="clear" w:color="auto" w:fill="auto"/>
            <w:vAlign w:val="center"/>
            <w:hideMark/>
          </w:tcPr>
          <w:p w14:paraId="1C1C836C"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4" w:space="0" w:color="000000"/>
              <w:right w:val="single" w:sz="4" w:space="0" w:color="000000"/>
            </w:tcBorders>
            <w:shd w:val="clear" w:color="auto" w:fill="auto"/>
            <w:hideMark/>
          </w:tcPr>
          <w:p w14:paraId="0CEA7D9C" w14:textId="0428D1E2"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0,00%</w:t>
            </w:r>
          </w:p>
        </w:tc>
        <w:tc>
          <w:tcPr>
            <w:tcW w:w="2126" w:type="dxa"/>
            <w:tcBorders>
              <w:top w:val="nil"/>
              <w:left w:val="nil"/>
              <w:bottom w:val="single" w:sz="4" w:space="0" w:color="000000"/>
              <w:right w:val="single" w:sz="8" w:space="0" w:color="000000"/>
            </w:tcBorders>
            <w:shd w:val="clear" w:color="auto" w:fill="auto"/>
            <w:hideMark/>
          </w:tcPr>
          <w:p w14:paraId="1AE18611" w14:textId="38DBB1B9"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6812">
              <w:rPr>
                <w:rFonts w:asciiTheme="minorHAnsi" w:eastAsia="Times New Roman" w:hAnsiTheme="minorHAnsi" w:cstheme="minorHAnsi"/>
                <w:color w:val="000000"/>
                <w:sz w:val="18"/>
                <w:szCs w:val="18"/>
                <w:lang w:eastAsia="pt-BR"/>
              </w:rPr>
              <w:t>0,00%</w:t>
            </w:r>
          </w:p>
        </w:tc>
      </w:tr>
      <w:tr w:rsidR="00167685" w:rsidRPr="00904FA8" w14:paraId="1C16BB8B" w14:textId="77777777" w:rsidTr="00D3145F">
        <w:trPr>
          <w:trHeight w:val="300"/>
          <w:jc w:val="center"/>
        </w:trPr>
        <w:tc>
          <w:tcPr>
            <w:tcW w:w="1694" w:type="dxa"/>
            <w:vMerge/>
            <w:tcBorders>
              <w:top w:val="nil"/>
              <w:left w:val="single" w:sz="8" w:space="0" w:color="000000"/>
              <w:bottom w:val="single" w:sz="4" w:space="0" w:color="000000"/>
              <w:right w:val="single" w:sz="4" w:space="0" w:color="000000"/>
            </w:tcBorders>
            <w:vAlign w:val="center"/>
            <w:hideMark/>
          </w:tcPr>
          <w:p w14:paraId="4A5A16B3" w14:textId="77777777" w:rsidR="00167685" w:rsidRPr="00904FA8" w:rsidRDefault="00167685" w:rsidP="00167685">
            <w:pPr>
              <w:spacing w:after="0" w:line="240" w:lineRule="auto"/>
              <w:ind w:right="-568" w:hanging="509"/>
              <w:rPr>
                <w:rFonts w:asciiTheme="minorHAnsi" w:eastAsia="Times New Roman" w:hAnsiTheme="minorHAnsi" w:cstheme="minorHAnsi"/>
                <w:b/>
                <w:bCs/>
                <w:color w:val="FFFFFF"/>
                <w:sz w:val="18"/>
                <w:szCs w:val="18"/>
                <w:lang w:eastAsia="pt-BR"/>
              </w:rPr>
            </w:pPr>
          </w:p>
        </w:tc>
        <w:tc>
          <w:tcPr>
            <w:tcW w:w="3345" w:type="dxa"/>
            <w:tcBorders>
              <w:top w:val="nil"/>
              <w:left w:val="nil"/>
              <w:bottom w:val="nil"/>
              <w:right w:val="single" w:sz="4" w:space="0" w:color="000000"/>
            </w:tcBorders>
            <w:shd w:val="clear" w:color="auto" w:fill="auto"/>
            <w:vAlign w:val="center"/>
            <w:hideMark/>
          </w:tcPr>
          <w:p w14:paraId="7D25A578" w14:textId="77777777" w:rsidR="00167685" w:rsidRPr="00904FA8"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FI Mercado de Acesso</w:t>
            </w:r>
          </w:p>
        </w:tc>
        <w:tc>
          <w:tcPr>
            <w:tcW w:w="1472" w:type="dxa"/>
            <w:tcBorders>
              <w:top w:val="nil"/>
              <w:left w:val="nil"/>
              <w:bottom w:val="nil"/>
              <w:right w:val="single" w:sz="4" w:space="0" w:color="000000"/>
            </w:tcBorders>
            <w:shd w:val="clear" w:color="auto" w:fill="auto"/>
            <w:vAlign w:val="center"/>
            <w:hideMark/>
          </w:tcPr>
          <w:p w14:paraId="2849E1A2"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10, III</w:t>
            </w:r>
          </w:p>
        </w:tc>
        <w:tc>
          <w:tcPr>
            <w:tcW w:w="1134" w:type="dxa"/>
            <w:tcBorders>
              <w:top w:val="nil"/>
              <w:left w:val="nil"/>
              <w:bottom w:val="nil"/>
              <w:right w:val="single" w:sz="4" w:space="0" w:color="000000"/>
            </w:tcBorders>
            <w:shd w:val="clear" w:color="auto" w:fill="auto"/>
            <w:vAlign w:val="center"/>
            <w:hideMark/>
          </w:tcPr>
          <w:p w14:paraId="3561D334"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5,00%</w:t>
            </w:r>
          </w:p>
        </w:tc>
        <w:tc>
          <w:tcPr>
            <w:tcW w:w="1701" w:type="dxa"/>
            <w:tcBorders>
              <w:top w:val="nil"/>
              <w:left w:val="nil"/>
              <w:bottom w:val="nil"/>
              <w:right w:val="single" w:sz="4" w:space="0" w:color="000000"/>
            </w:tcBorders>
            <w:shd w:val="clear" w:color="auto" w:fill="auto"/>
            <w:vAlign w:val="center"/>
            <w:hideMark/>
          </w:tcPr>
          <w:p w14:paraId="04F03315"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nil"/>
              <w:right w:val="single" w:sz="4" w:space="0" w:color="000000"/>
            </w:tcBorders>
            <w:shd w:val="clear" w:color="auto" w:fill="auto"/>
            <w:hideMark/>
          </w:tcPr>
          <w:p w14:paraId="0DE46128" w14:textId="64E5913A"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0,00%</w:t>
            </w:r>
          </w:p>
        </w:tc>
        <w:tc>
          <w:tcPr>
            <w:tcW w:w="2126" w:type="dxa"/>
            <w:tcBorders>
              <w:top w:val="nil"/>
              <w:left w:val="nil"/>
              <w:bottom w:val="nil"/>
              <w:right w:val="single" w:sz="8" w:space="0" w:color="000000"/>
            </w:tcBorders>
            <w:shd w:val="clear" w:color="auto" w:fill="auto"/>
            <w:hideMark/>
          </w:tcPr>
          <w:p w14:paraId="0D6FFBAC" w14:textId="09D2FFE9"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6812">
              <w:rPr>
                <w:rFonts w:asciiTheme="minorHAnsi" w:eastAsia="Times New Roman" w:hAnsiTheme="minorHAnsi" w:cstheme="minorHAnsi"/>
                <w:color w:val="000000"/>
                <w:sz w:val="18"/>
                <w:szCs w:val="18"/>
                <w:lang w:eastAsia="pt-BR"/>
              </w:rPr>
              <w:t>0,00%</w:t>
            </w:r>
          </w:p>
        </w:tc>
      </w:tr>
      <w:tr w:rsidR="00167685" w:rsidRPr="00904FA8" w14:paraId="586214DE" w14:textId="77777777" w:rsidTr="00D3145F">
        <w:trPr>
          <w:trHeight w:val="300"/>
          <w:jc w:val="center"/>
        </w:trPr>
        <w:tc>
          <w:tcPr>
            <w:tcW w:w="1694" w:type="dxa"/>
            <w:tcBorders>
              <w:top w:val="single" w:sz="8" w:space="0" w:color="000000"/>
              <w:left w:val="single" w:sz="8" w:space="0" w:color="000000"/>
              <w:bottom w:val="single" w:sz="8" w:space="0" w:color="000000"/>
              <w:right w:val="single" w:sz="4" w:space="0" w:color="000000"/>
            </w:tcBorders>
            <w:shd w:val="clear" w:color="000000" w:fill="195689"/>
            <w:noWrap/>
            <w:vAlign w:val="bottom"/>
            <w:hideMark/>
          </w:tcPr>
          <w:p w14:paraId="2F2596F8" w14:textId="77777777" w:rsidR="00167685" w:rsidRPr="00904FA8" w:rsidRDefault="00167685" w:rsidP="00167685">
            <w:pPr>
              <w:spacing w:after="0" w:line="240" w:lineRule="auto"/>
              <w:ind w:right="-568" w:hanging="509"/>
              <w:jc w:val="center"/>
              <w:rPr>
                <w:rFonts w:asciiTheme="minorHAnsi" w:eastAsia="Times New Roman" w:hAnsiTheme="minorHAnsi" w:cstheme="minorHAnsi"/>
                <w:b/>
                <w:bCs/>
                <w:color w:val="FFFFFF"/>
                <w:sz w:val="18"/>
                <w:szCs w:val="18"/>
                <w:lang w:eastAsia="pt-BR"/>
              </w:rPr>
            </w:pPr>
            <w:r w:rsidRPr="00904FA8">
              <w:rPr>
                <w:rFonts w:asciiTheme="minorHAnsi" w:eastAsia="Times New Roman" w:hAnsiTheme="minorHAnsi" w:cstheme="minorHAnsi"/>
                <w:b/>
                <w:bCs/>
                <w:color w:val="FFFFFF"/>
                <w:sz w:val="18"/>
                <w:szCs w:val="18"/>
                <w:lang w:eastAsia="pt-BR"/>
              </w:rPr>
              <w:t>IMOBILIARIO</w:t>
            </w:r>
          </w:p>
        </w:tc>
        <w:tc>
          <w:tcPr>
            <w:tcW w:w="3345" w:type="dxa"/>
            <w:tcBorders>
              <w:top w:val="single" w:sz="8" w:space="0" w:color="000000"/>
              <w:left w:val="nil"/>
              <w:bottom w:val="single" w:sz="8" w:space="0" w:color="000000"/>
              <w:right w:val="single" w:sz="4" w:space="0" w:color="000000"/>
            </w:tcBorders>
            <w:shd w:val="clear" w:color="auto" w:fill="auto"/>
            <w:vAlign w:val="center"/>
            <w:hideMark/>
          </w:tcPr>
          <w:p w14:paraId="501D68E8" w14:textId="77777777" w:rsidR="00167685" w:rsidRPr="00904FA8"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FI Imobiliários</w:t>
            </w:r>
          </w:p>
        </w:tc>
        <w:tc>
          <w:tcPr>
            <w:tcW w:w="1472" w:type="dxa"/>
            <w:tcBorders>
              <w:top w:val="single" w:sz="8" w:space="0" w:color="000000"/>
              <w:left w:val="nil"/>
              <w:bottom w:val="single" w:sz="8" w:space="0" w:color="000000"/>
              <w:right w:val="single" w:sz="4" w:space="0" w:color="000000"/>
            </w:tcBorders>
            <w:shd w:val="clear" w:color="auto" w:fill="auto"/>
            <w:vAlign w:val="center"/>
            <w:hideMark/>
          </w:tcPr>
          <w:p w14:paraId="134E6AB2"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11</w:t>
            </w:r>
          </w:p>
        </w:tc>
        <w:tc>
          <w:tcPr>
            <w:tcW w:w="1134" w:type="dxa"/>
            <w:tcBorders>
              <w:top w:val="single" w:sz="8" w:space="0" w:color="000000"/>
              <w:left w:val="nil"/>
              <w:bottom w:val="single" w:sz="8" w:space="0" w:color="000000"/>
              <w:right w:val="single" w:sz="4" w:space="0" w:color="000000"/>
            </w:tcBorders>
            <w:shd w:val="clear" w:color="auto" w:fill="auto"/>
            <w:vAlign w:val="center"/>
            <w:hideMark/>
          </w:tcPr>
          <w:p w14:paraId="425FDD0B"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5,00%</w:t>
            </w:r>
          </w:p>
        </w:tc>
        <w:tc>
          <w:tcPr>
            <w:tcW w:w="1701" w:type="dxa"/>
            <w:tcBorders>
              <w:top w:val="single" w:sz="8" w:space="0" w:color="000000"/>
              <w:left w:val="nil"/>
              <w:bottom w:val="single" w:sz="8" w:space="0" w:color="000000"/>
              <w:right w:val="single" w:sz="4" w:space="0" w:color="000000"/>
            </w:tcBorders>
            <w:shd w:val="clear" w:color="auto" w:fill="auto"/>
            <w:vAlign w:val="center"/>
            <w:hideMark/>
          </w:tcPr>
          <w:p w14:paraId="72AFD98B"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single" w:sz="8" w:space="0" w:color="000000"/>
              <w:left w:val="nil"/>
              <w:bottom w:val="single" w:sz="8" w:space="0" w:color="000000"/>
              <w:right w:val="single" w:sz="4" w:space="0" w:color="000000"/>
            </w:tcBorders>
            <w:shd w:val="clear" w:color="auto" w:fill="auto"/>
            <w:hideMark/>
          </w:tcPr>
          <w:p w14:paraId="5F398E93" w14:textId="4DE10FDA"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0,00%</w:t>
            </w:r>
          </w:p>
        </w:tc>
        <w:tc>
          <w:tcPr>
            <w:tcW w:w="2126" w:type="dxa"/>
            <w:tcBorders>
              <w:top w:val="single" w:sz="8" w:space="0" w:color="000000"/>
              <w:left w:val="nil"/>
              <w:bottom w:val="single" w:sz="8" w:space="0" w:color="000000"/>
              <w:right w:val="single" w:sz="8" w:space="0" w:color="000000"/>
            </w:tcBorders>
            <w:shd w:val="clear" w:color="auto" w:fill="auto"/>
            <w:hideMark/>
          </w:tcPr>
          <w:p w14:paraId="3E1F7897" w14:textId="3B3A01A6"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6812">
              <w:rPr>
                <w:rFonts w:asciiTheme="minorHAnsi" w:eastAsia="Times New Roman" w:hAnsiTheme="minorHAnsi" w:cstheme="minorHAnsi"/>
                <w:color w:val="000000"/>
                <w:sz w:val="18"/>
                <w:szCs w:val="18"/>
                <w:lang w:eastAsia="pt-BR"/>
              </w:rPr>
              <w:t>0,00%</w:t>
            </w:r>
          </w:p>
        </w:tc>
      </w:tr>
      <w:tr w:rsidR="00167685" w:rsidRPr="00904FA8" w14:paraId="13E6BE96" w14:textId="77777777" w:rsidTr="00D3145F">
        <w:trPr>
          <w:trHeight w:val="300"/>
          <w:jc w:val="center"/>
        </w:trPr>
        <w:tc>
          <w:tcPr>
            <w:tcW w:w="1694" w:type="dxa"/>
            <w:tcBorders>
              <w:top w:val="nil"/>
              <w:left w:val="single" w:sz="8" w:space="0" w:color="000000"/>
              <w:bottom w:val="single" w:sz="8" w:space="0" w:color="000000"/>
              <w:right w:val="single" w:sz="4" w:space="0" w:color="000000"/>
            </w:tcBorders>
            <w:shd w:val="clear" w:color="000000" w:fill="195689"/>
            <w:noWrap/>
            <w:vAlign w:val="bottom"/>
            <w:hideMark/>
          </w:tcPr>
          <w:p w14:paraId="45C76496" w14:textId="77777777" w:rsidR="00167685" w:rsidRPr="00904FA8" w:rsidRDefault="00167685" w:rsidP="00167685">
            <w:pPr>
              <w:spacing w:after="0" w:line="240" w:lineRule="auto"/>
              <w:ind w:right="-568" w:hanging="509"/>
              <w:jc w:val="center"/>
              <w:rPr>
                <w:rFonts w:asciiTheme="minorHAnsi" w:eastAsia="Times New Roman" w:hAnsiTheme="minorHAnsi" w:cstheme="minorHAnsi"/>
                <w:b/>
                <w:bCs/>
                <w:color w:val="FFFFFF"/>
                <w:sz w:val="18"/>
                <w:szCs w:val="18"/>
                <w:lang w:eastAsia="pt-BR"/>
              </w:rPr>
            </w:pPr>
            <w:r w:rsidRPr="00904FA8">
              <w:rPr>
                <w:rFonts w:asciiTheme="minorHAnsi" w:eastAsia="Times New Roman" w:hAnsiTheme="minorHAnsi" w:cstheme="minorHAnsi"/>
                <w:b/>
                <w:bCs/>
                <w:color w:val="FFFFFF"/>
                <w:sz w:val="18"/>
                <w:szCs w:val="18"/>
                <w:lang w:eastAsia="pt-BR"/>
              </w:rPr>
              <w:t>CONSIGNADO</w:t>
            </w:r>
          </w:p>
        </w:tc>
        <w:tc>
          <w:tcPr>
            <w:tcW w:w="3345" w:type="dxa"/>
            <w:tcBorders>
              <w:top w:val="nil"/>
              <w:left w:val="nil"/>
              <w:bottom w:val="single" w:sz="8" w:space="0" w:color="000000"/>
              <w:right w:val="single" w:sz="4" w:space="0" w:color="000000"/>
            </w:tcBorders>
            <w:shd w:val="clear" w:color="auto" w:fill="auto"/>
            <w:vAlign w:val="center"/>
            <w:hideMark/>
          </w:tcPr>
          <w:p w14:paraId="0D6AA377" w14:textId="77777777" w:rsidR="00167685" w:rsidRPr="00904FA8" w:rsidRDefault="00167685" w:rsidP="00167685">
            <w:pPr>
              <w:spacing w:after="0" w:line="240" w:lineRule="auto"/>
              <w:ind w:right="-546" w:firstLine="7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Empréstimos consignado</w:t>
            </w:r>
          </w:p>
        </w:tc>
        <w:tc>
          <w:tcPr>
            <w:tcW w:w="1472" w:type="dxa"/>
            <w:tcBorders>
              <w:top w:val="nil"/>
              <w:left w:val="nil"/>
              <w:bottom w:val="single" w:sz="8" w:space="0" w:color="000000"/>
              <w:right w:val="single" w:sz="4" w:space="0" w:color="000000"/>
            </w:tcBorders>
            <w:shd w:val="clear" w:color="auto" w:fill="auto"/>
            <w:vAlign w:val="center"/>
            <w:hideMark/>
          </w:tcPr>
          <w:p w14:paraId="4F0DBEF5" w14:textId="77777777" w:rsidR="00167685" w:rsidRPr="00904FA8" w:rsidRDefault="00167685" w:rsidP="00167685">
            <w:pPr>
              <w:spacing w:after="0" w:line="240" w:lineRule="auto"/>
              <w:ind w:right="-546" w:firstLine="127"/>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Art. 12</w:t>
            </w:r>
          </w:p>
        </w:tc>
        <w:tc>
          <w:tcPr>
            <w:tcW w:w="1134" w:type="dxa"/>
            <w:tcBorders>
              <w:top w:val="nil"/>
              <w:left w:val="nil"/>
              <w:bottom w:val="single" w:sz="8" w:space="0" w:color="000000"/>
              <w:right w:val="single" w:sz="4" w:space="0" w:color="000000"/>
            </w:tcBorders>
            <w:shd w:val="clear" w:color="auto" w:fill="auto"/>
            <w:vAlign w:val="center"/>
            <w:hideMark/>
          </w:tcPr>
          <w:p w14:paraId="5D6395B8" w14:textId="77777777" w:rsidR="00167685" w:rsidRPr="00904FA8" w:rsidRDefault="00167685" w:rsidP="00167685">
            <w:pPr>
              <w:spacing w:after="0" w:line="240" w:lineRule="auto"/>
              <w:ind w:right="-546" w:firstLine="215"/>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5,00%</w:t>
            </w:r>
          </w:p>
        </w:tc>
        <w:tc>
          <w:tcPr>
            <w:tcW w:w="1701" w:type="dxa"/>
            <w:tcBorders>
              <w:top w:val="nil"/>
              <w:left w:val="nil"/>
              <w:bottom w:val="single" w:sz="8" w:space="0" w:color="000000"/>
              <w:right w:val="single" w:sz="4" w:space="0" w:color="000000"/>
            </w:tcBorders>
            <w:shd w:val="clear" w:color="auto" w:fill="auto"/>
            <w:vAlign w:val="center"/>
            <w:hideMark/>
          </w:tcPr>
          <w:p w14:paraId="50739014" w14:textId="7777777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4FA8">
              <w:rPr>
                <w:rFonts w:asciiTheme="minorHAnsi" w:eastAsia="Times New Roman" w:hAnsiTheme="minorHAnsi" w:cstheme="minorHAnsi"/>
                <w:color w:val="000000"/>
                <w:sz w:val="18"/>
                <w:szCs w:val="18"/>
                <w:lang w:eastAsia="pt-BR"/>
              </w:rPr>
              <w:t>0,00%</w:t>
            </w:r>
          </w:p>
        </w:tc>
        <w:tc>
          <w:tcPr>
            <w:tcW w:w="1701" w:type="dxa"/>
            <w:tcBorders>
              <w:top w:val="nil"/>
              <w:left w:val="nil"/>
              <w:bottom w:val="single" w:sz="8" w:space="0" w:color="000000"/>
              <w:right w:val="single" w:sz="4" w:space="0" w:color="000000"/>
            </w:tcBorders>
            <w:shd w:val="clear" w:color="auto" w:fill="auto"/>
            <w:hideMark/>
          </w:tcPr>
          <w:p w14:paraId="7C6B401B" w14:textId="232C3DCE"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191D48">
              <w:rPr>
                <w:sz w:val="18"/>
                <w:szCs w:val="18"/>
              </w:rPr>
              <w:t>0,00%</w:t>
            </w:r>
          </w:p>
        </w:tc>
        <w:tc>
          <w:tcPr>
            <w:tcW w:w="2126" w:type="dxa"/>
            <w:tcBorders>
              <w:top w:val="nil"/>
              <w:left w:val="nil"/>
              <w:bottom w:val="single" w:sz="8" w:space="0" w:color="000000"/>
              <w:right w:val="single" w:sz="8" w:space="0" w:color="000000"/>
            </w:tcBorders>
            <w:shd w:val="clear" w:color="auto" w:fill="auto"/>
            <w:hideMark/>
          </w:tcPr>
          <w:p w14:paraId="39873AC7" w14:textId="3F79CE67" w:rsidR="00167685" w:rsidRPr="00904FA8" w:rsidRDefault="00167685" w:rsidP="00167685">
            <w:pPr>
              <w:spacing w:after="0" w:line="240" w:lineRule="auto"/>
              <w:ind w:right="-546" w:firstLine="851"/>
              <w:rPr>
                <w:rFonts w:asciiTheme="minorHAnsi" w:eastAsia="Times New Roman" w:hAnsiTheme="minorHAnsi" w:cstheme="minorHAnsi"/>
                <w:color w:val="000000"/>
                <w:sz w:val="18"/>
                <w:szCs w:val="18"/>
                <w:lang w:eastAsia="pt-BR"/>
              </w:rPr>
            </w:pPr>
            <w:r w:rsidRPr="00906812">
              <w:rPr>
                <w:rFonts w:asciiTheme="minorHAnsi" w:eastAsia="Times New Roman" w:hAnsiTheme="minorHAnsi" w:cstheme="minorHAnsi"/>
                <w:color w:val="000000"/>
                <w:sz w:val="18"/>
                <w:szCs w:val="18"/>
                <w:lang w:eastAsia="pt-BR"/>
              </w:rPr>
              <w:t>0,00%</w:t>
            </w:r>
          </w:p>
        </w:tc>
      </w:tr>
      <w:tr w:rsidR="00AE689F" w:rsidRPr="00904FA8" w14:paraId="4D2243A9" w14:textId="77777777" w:rsidTr="00FB2503">
        <w:trPr>
          <w:trHeight w:val="300"/>
          <w:jc w:val="center"/>
        </w:trPr>
        <w:tc>
          <w:tcPr>
            <w:tcW w:w="7645" w:type="dxa"/>
            <w:gridSpan w:val="4"/>
            <w:tcBorders>
              <w:top w:val="single" w:sz="8" w:space="0" w:color="000000"/>
              <w:left w:val="single" w:sz="8" w:space="0" w:color="000000"/>
              <w:bottom w:val="single" w:sz="4" w:space="0" w:color="auto"/>
              <w:right w:val="single" w:sz="4" w:space="0" w:color="000000"/>
            </w:tcBorders>
            <w:shd w:val="clear" w:color="000000" w:fill="AEAAAA"/>
            <w:vAlign w:val="center"/>
            <w:hideMark/>
          </w:tcPr>
          <w:p w14:paraId="162A2F40" w14:textId="77777777" w:rsidR="00AE689F" w:rsidRPr="00904FA8" w:rsidRDefault="00AE689F" w:rsidP="00225CEC">
            <w:pPr>
              <w:spacing w:after="0" w:line="240" w:lineRule="auto"/>
              <w:ind w:right="-568"/>
              <w:rPr>
                <w:rFonts w:asciiTheme="minorHAnsi" w:eastAsia="Times New Roman" w:hAnsiTheme="minorHAnsi" w:cstheme="minorHAnsi"/>
                <w:b/>
                <w:bCs/>
                <w:color w:val="000000"/>
                <w:sz w:val="18"/>
                <w:szCs w:val="18"/>
                <w:lang w:eastAsia="pt-BR"/>
              </w:rPr>
            </w:pPr>
            <w:r w:rsidRPr="00904FA8">
              <w:rPr>
                <w:rFonts w:asciiTheme="minorHAnsi" w:eastAsia="Times New Roman" w:hAnsiTheme="minorHAnsi" w:cstheme="minorHAnsi"/>
                <w:b/>
                <w:bCs/>
                <w:color w:val="000000"/>
                <w:sz w:val="18"/>
                <w:szCs w:val="18"/>
                <w:lang w:eastAsia="pt-BR"/>
              </w:rPr>
              <w:t>TOTAL GERAL DOS INVESTIMENTOS</w:t>
            </w:r>
          </w:p>
        </w:tc>
        <w:tc>
          <w:tcPr>
            <w:tcW w:w="1701" w:type="dxa"/>
            <w:tcBorders>
              <w:top w:val="nil"/>
              <w:left w:val="nil"/>
              <w:bottom w:val="single" w:sz="4" w:space="0" w:color="auto"/>
              <w:right w:val="single" w:sz="4" w:space="0" w:color="000000"/>
            </w:tcBorders>
            <w:shd w:val="clear" w:color="000000" w:fill="AEAAAA"/>
            <w:vAlign w:val="center"/>
            <w:hideMark/>
          </w:tcPr>
          <w:p w14:paraId="6B636AE9" w14:textId="003C32EC" w:rsidR="00AE689F" w:rsidRPr="00904FA8" w:rsidRDefault="00AE689F" w:rsidP="00225CEC">
            <w:pPr>
              <w:spacing w:after="0" w:line="240" w:lineRule="auto"/>
              <w:ind w:right="-568"/>
              <w:jc w:val="center"/>
              <w:rPr>
                <w:rFonts w:asciiTheme="minorHAnsi" w:eastAsia="Times New Roman" w:hAnsiTheme="minorHAnsi" w:cstheme="minorHAnsi"/>
                <w:b/>
                <w:bCs/>
                <w:color w:val="000000"/>
                <w:sz w:val="18"/>
                <w:szCs w:val="18"/>
                <w:lang w:eastAsia="pt-BR"/>
              </w:rPr>
            </w:pPr>
          </w:p>
        </w:tc>
        <w:tc>
          <w:tcPr>
            <w:tcW w:w="1701" w:type="dxa"/>
            <w:tcBorders>
              <w:top w:val="nil"/>
              <w:left w:val="nil"/>
              <w:bottom w:val="single" w:sz="4" w:space="0" w:color="auto"/>
              <w:right w:val="single" w:sz="4" w:space="0" w:color="000000"/>
            </w:tcBorders>
            <w:shd w:val="clear" w:color="000000" w:fill="AEAAAA"/>
            <w:vAlign w:val="center"/>
            <w:hideMark/>
          </w:tcPr>
          <w:p w14:paraId="6009637B" w14:textId="207A39B7" w:rsidR="00AE689F" w:rsidRPr="00904FA8" w:rsidRDefault="00C20E13" w:rsidP="00225CEC">
            <w:pPr>
              <w:spacing w:after="0" w:line="240" w:lineRule="auto"/>
              <w:ind w:right="-568"/>
              <w:jc w:val="center"/>
              <w:rPr>
                <w:rFonts w:asciiTheme="minorHAnsi" w:eastAsia="Times New Roman" w:hAnsiTheme="minorHAnsi" w:cstheme="minorHAnsi"/>
                <w:b/>
                <w:bCs/>
                <w:color w:val="000000"/>
                <w:sz w:val="18"/>
                <w:szCs w:val="18"/>
                <w:lang w:eastAsia="pt-BR"/>
              </w:rPr>
            </w:pPr>
            <w:r w:rsidRPr="00904FA8">
              <w:rPr>
                <w:rFonts w:asciiTheme="minorHAnsi" w:eastAsia="Times New Roman" w:hAnsiTheme="minorHAnsi" w:cstheme="minorHAnsi"/>
                <w:b/>
                <w:bCs/>
                <w:color w:val="000000"/>
                <w:sz w:val="18"/>
                <w:szCs w:val="18"/>
                <w:lang w:eastAsia="pt-BR"/>
              </w:rPr>
              <w:t>100%</w:t>
            </w:r>
            <w:r w:rsidR="00AE689F" w:rsidRPr="00904FA8">
              <w:rPr>
                <w:rFonts w:asciiTheme="minorHAnsi" w:eastAsia="Times New Roman" w:hAnsiTheme="minorHAnsi" w:cstheme="minorHAnsi"/>
                <w:b/>
                <w:bCs/>
                <w:color w:val="000000"/>
                <w:sz w:val="18"/>
                <w:szCs w:val="18"/>
                <w:lang w:eastAsia="pt-BR"/>
              </w:rPr>
              <w:t> </w:t>
            </w:r>
          </w:p>
        </w:tc>
        <w:tc>
          <w:tcPr>
            <w:tcW w:w="2126" w:type="dxa"/>
            <w:tcBorders>
              <w:top w:val="nil"/>
              <w:left w:val="nil"/>
              <w:bottom w:val="single" w:sz="4" w:space="0" w:color="auto"/>
              <w:right w:val="single" w:sz="8" w:space="0" w:color="000000"/>
            </w:tcBorders>
            <w:shd w:val="clear" w:color="000000" w:fill="AEAAAA"/>
            <w:vAlign w:val="center"/>
            <w:hideMark/>
          </w:tcPr>
          <w:p w14:paraId="633A42D1" w14:textId="77777777" w:rsidR="00AE689F" w:rsidRPr="00904FA8" w:rsidRDefault="00AE689F" w:rsidP="00225CEC">
            <w:pPr>
              <w:spacing w:after="0" w:line="240" w:lineRule="auto"/>
              <w:ind w:right="-568"/>
              <w:jc w:val="center"/>
              <w:rPr>
                <w:rFonts w:asciiTheme="minorHAnsi" w:eastAsia="Times New Roman" w:hAnsiTheme="minorHAnsi" w:cstheme="minorHAnsi"/>
                <w:b/>
                <w:bCs/>
                <w:color w:val="000000"/>
                <w:sz w:val="18"/>
                <w:szCs w:val="18"/>
                <w:lang w:eastAsia="pt-BR"/>
              </w:rPr>
            </w:pPr>
            <w:r w:rsidRPr="00904FA8">
              <w:rPr>
                <w:rFonts w:asciiTheme="minorHAnsi" w:eastAsia="Times New Roman" w:hAnsiTheme="minorHAnsi" w:cstheme="minorHAnsi"/>
                <w:b/>
                <w:bCs/>
                <w:color w:val="000000"/>
                <w:sz w:val="18"/>
                <w:szCs w:val="18"/>
                <w:lang w:eastAsia="pt-BR"/>
              </w:rPr>
              <w:t>100%</w:t>
            </w:r>
          </w:p>
        </w:tc>
      </w:tr>
    </w:tbl>
    <w:p w14:paraId="68189345" w14:textId="77777777" w:rsidR="00AE689F" w:rsidRPr="00BF3C92" w:rsidRDefault="00AE689F" w:rsidP="003A39F8">
      <w:pPr>
        <w:tabs>
          <w:tab w:val="left" w:pos="2910"/>
        </w:tabs>
        <w:ind w:right="-568" w:firstLine="851"/>
        <w:rPr>
          <w:lang w:eastAsia="pt-BR"/>
        </w:rPr>
        <w:sectPr w:rsidR="00AE689F" w:rsidRPr="00BF3C92" w:rsidSect="00850DA7">
          <w:pgSz w:w="16838" w:h="11906" w:orient="landscape"/>
          <w:pgMar w:top="567" w:right="1134" w:bottom="567" w:left="1701" w:header="709" w:footer="709" w:gutter="0"/>
          <w:cols w:space="708"/>
          <w:docGrid w:linePitch="360"/>
        </w:sectPr>
      </w:pPr>
    </w:p>
    <w:p w14:paraId="465040BE" w14:textId="142F9FD4" w:rsidR="00340B6B" w:rsidRPr="008B02D4" w:rsidRDefault="00340B6B" w:rsidP="003A39F8">
      <w:pPr>
        <w:pStyle w:val="Ttulo2"/>
        <w:numPr>
          <w:ilvl w:val="1"/>
          <w:numId w:val="4"/>
        </w:numPr>
        <w:ind w:left="0" w:right="-568" w:firstLine="851"/>
        <w:jc w:val="both"/>
        <w:rPr>
          <w:rFonts w:asciiTheme="minorHAnsi" w:hAnsiTheme="minorHAnsi" w:cstheme="minorHAnsi"/>
          <w:b/>
          <w:bCs/>
          <w:szCs w:val="24"/>
        </w:rPr>
      </w:pPr>
      <w:bookmarkStart w:id="20" w:name="_Toc435202742"/>
      <w:bookmarkStart w:id="21" w:name="_Toc93910763"/>
      <w:r w:rsidRPr="008B02D4">
        <w:rPr>
          <w:rFonts w:asciiTheme="minorHAnsi" w:hAnsiTheme="minorHAnsi" w:cstheme="minorHAnsi"/>
          <w:b/>
          <w:bCs/>
          <w:szCs w:val="24"/>
        </w:rPr>
        <w:lastRenderedPageBreak/>
        <w:t>Segmento de Renda Fixa</w:t>
      </w:r>
      <w:bookmarkEnd w:id="20"/>
      <w:bookmarkEnd w:id="21"/>
    </w:p>
    <w:p w14:paraId="051080BB" w14:textId="77777777"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0FD08C7F" w14:textId="0119ECA0"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Conforme a Resolução CMN n° 4.963/2021, o RPPS propõe-se adotar o limite de máximo de 100% (cem por cento) dos investimentos. </w:t>
      </w:r>
    </w:p>
    <w:p w14:paraId="4EAAA4F3" w14:textId="31C80B7C"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A </w:t>
      </w:r>
      <w:r w:rsidR="00AC3D26" w:rsidRPr="008B02D4">
        <w:rPr>
          <w:rFonts w:asciiTheme="minorHAnsi" w:hAnsiTheme="minorHAnsi" w:cstheme="minorHAnsi"/>
          <w:sz w:val="24"/>
          <w:szCs w:val="24"/>
          <w:lang w:eastAsia="pt-BR"/>
        </w:rPr>
        <w:t>transação</w:t>
      </w:r>
      <w:r w:rsidRPr="008B02D4">
        <w:rPr>
          <w:rFonts w:asciiTheme="minorHAnsi" w:hAnsiTheme="minorHAnsi" w:cstheme="minorHAnsi"/>
          <w:sz w:val="24"/>
          <w:szCs w:val="24"/>
          <w:lang w:eastAsia="pt-BR"/>
        </w:rPr>
        <w:t xml:space="preserve"> de títulos públicos no mercado secundário (compra/venda de títulos públicos) </w:t>
      </w:r>
      <w:r w:rsidR="00AC3D26" w:rsidRPr="008B02D4">
        <w:rPr>
          <w:rFonts w:asciiTheme="minorHAnsi" w:hAnsiTheme="minorHAnsi" w:cstheme="minorHAnsi"/>
          <w:sz w:val="24"/>
          <w:szCs w:val="24"/>
          <w:lang w:eastAsia="pt-BR"/>
        </w:rPr>
        <w:t>corresponderá</w:t>
      </w:r>
      <w:r w:rsidRPr="008B02D4">
        <w:rPr>
          <w:rFonts w:asciiTheme="minorHAnsi" w:hAnsiTheme="minorHAnsi" w:cstheme="minorHAnsi"/>
          <w:sz w:val="24"/>
          <w:szCs w:val="24"/>
          <w:lang w:eastAsia="pt-BR"/>
        </w:rPr>
        <w:t xml:space="preserve"> ao disposto, Art. 7º, inciso I, alínea "a" da Resolução CMN n° 4.963/2021, onde </w:t>
      </w:r>
      <w:r w:rsidR="00AC3D26" w:rsidRPr="008B02D4">
        <w:rPr>
          <w:rFonts w:asciiTheme="minorHAnsi" w:hAnsiTheme="minorHAnsi" w:cstheme="minorHAnsi"/>
          <w:sz w:val="24"/>
          <w:szCs w:val="24"/>
          <w:lang w:eastAsia="pt-BR"/>
        </w:rPr>
        <w:t>precisarão</w:t>
      </w:r>
      <w:r w:rsidRPr="008B02D4">
        <w:rPr>
          <w:rFonts w:asciiTheme="minorHAnsi" w:hAnsiTheme="minorHAnsi" w:cstheme="minorHAnsi"/>
          <w:sz w:val="24"/>
          <w:szCs w:val="24"/>
          <w:lang w:eastAsia="pt-BR"/>
        </w:rPr>
        <w:t xml:space="preserve"> estar registrados no Sistema Especial de Liquidação e de Custódia (SELIC). </w:t>
      </w:r>
    </w:p>
    <w:p w14:paraId="0386DCB1" w14:textId="48079B23" w:rsidR="00340B6B" w:rsidRPr="008B02D4" w:rsidRDefault="00AC3D26"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Os </w:t>
      </w:r>
      <w:r w:rsidR="00340B6B" w:rsidRPr="008B02D4">
        <w:rPr>
          <w:rFonts w:asciiTheme="minorHAnsi" w:hAnsiTheme="minorHAnsi" w:cstheme="minorHAnsi"/>
          <w:sz w:val="24"/>
          <w:szCs w:val="24"/>
          <w:lang w:eastAsia="pt-BR"/>
        </w:rPr>
        <w:t xml:space="preserve">Títulos Públicos e </w:t>
      </w:r>
      <w:r w:rsidRPr="008B02D4">
        <w:rPr>
          <w:rFonts w:asciiTheme="minorHAnsi" w:hAnsiTheme="minorHAnsi" w:cstheme="minorHAnsi"/>
          <w:sz w:val="24"/>
          <w:szCs w:val="24"/>
          <w:lang w:eastAsia="pt-BR"/>
        </w:rPr>
        <w:t xml:space="preserve">os </w:t>
      </w:r>
      <w:r w:rsidR="00340B6B" w:rsidRPr="008B02D4">
        <w:rPr>
          <w:rFonts w:asciiTheme="minorHAnsi" w:hAnsiTheme="minorHAnsi" w:cstheme="minorHAnsi"/>
          <w:sz w:val="24"/>
          <w:szCs w:val="24"/>
          <w:lang w:eastAsia="pt-BR"/>
        </w:rPr>
        <w:t xml:space="preserve">demais Ativos Financeiros deverão </w:t>
      </w:r>
      <w:r w:rsidR="006A7F28" w:rsidRPr="008B02D4">
        <w:rPr>
          <w:rFonts w:asciiTheme="minorHAnsi" w:hAnsiTheme="minorHAnsi" w:cstheme="minorHAnsi"/>
          <w:sz w:val="24"/>
          <w:szCs w:val="24"/>
          <w:lang w:eastAsia="pt-BR"/>
        </w:rPr>
        <w:t>ser negociados</w:t>
      </w:r>
      <w:r w:rsidR="00340B6B" w:rsidRPr="008B02D4">
        <w:rPr>
          <w:rFonts w:asciiTheme="minorHAnsi" w:hAnsiTheme="minorHAnsi" w:cstheme="minorHAnsi"/>
          <w:sz w:val="24"/>
          <w:szCs w:val="24"/>
          <w:lang w:eastAsia="pt-BR"/>
        </w:rPr>
        <w:t xml:space="preserve"> através de plataformas eletrônicas administradas por sistemas autorizados a funcionar pelo Banco Central do Brasil ou pela Comissão de Valores Mobiliários, admitindo-se, ainda, aquisição em ofertas públicas do Tesouro Nacional por intermédio das instituições regularmente </w:t>
      </w:r>
      <w:r w:rsidR="006A7F28" w:rsidRPr="008B02D4">
        <w:rPr>
          <w:rFonts w:asciiTheme="minorHAnsi" w:hAnsiTheme="minorHAnsi" w:cstheme="minorHAnsi"/>
          <w:sz w:val="24"/>
          <w:szCs w:val="24"/>
          <w:lang w:eastAsia="pt-BR"/>
        </w:rPr>
        <w:t>certificadas</w:t>
      </w:r>
      <w:r w:rsidR="00340B6B" w:rsidRPr="008B02D4">
        <w:rPr>
          <w:rFonts w:asciiTheme="minorHAnsi" w:hAnsiTheme="minorHAnsi" w:cstheme="minorHAnsi"/>
          <w:sz w:val="24"/>
          <w:szCs w:val="24"/>
          <w:lang w:eastAsia="pt-BR"/>
        </w:rPr>
        <w:t xml:space="preserve">. </w:t>
      </w:r>
    </w:p>
    <w:p w14:paraId="67CD20AE" w14:textId="0F6CC4FC" w:rsidR="00340B6B" w:rsidRPr="008B02D4" w:rsidRDefault="006A7F28" w:rsidP="003A39F8">
      <w:pPr>
        <w:autoSpaceDE w:val="0"/>
        <w:autoSpaceDN w:val="0"/>
        <w:adjustRightInd w:val="0"/>
        <w:spacing w:after="0" w:line="360" w:lineRule="auto"/>
        <w:ind w:right="-568" w:firstLine="851"/>
        <w:jc w:val="both"/>
        <w:rPr>
          <w:rFonts w:asciiTheme="minorHAnsi" w:hAnsiTheme="minorHAnsi" w:cstheme="minorHAnsi"/>
          <w:sz w:val="24"/>
          <w:szCs w:val="24"/>
        </w:rPr>
      </w:pPr>
      <w:r w:rsidRPr="008B02D4">
        <w:rPr>
          <w:rFonts w:asciiTheme="minorHAnsi" w:hAnsiTheme="minorHAnsi" w:cstheme="minorHAnsi"/>
          <w:sz w:val="24"/>
          <w:szCs w:val="24"/>
          <w:lang w:eastAsia="pt-BR"/>
        </w:rPr>
        <w:t xml:space="preserve">Caso </w:t>
      </w:r>
      <w:r w:rsidR="00340B6B" w:rsidRPr="008B02D4">
        <w:rPr>
          <w:rFonts w:asciiTheme="minorHAnsi" w:hAnsiTheme="minorHAnsi" w:cstheme="minorHAnsi"/>
          <w:sz w:val="24"/>
          <w:szCs w:val="24"/>
          <w:lang w:eastAsia="pt-BR"/>
        </w:rPr>
        <w:t xml:space="preserve">o RPPS </w:t>
      </w:r>
      <w:r w:rsidRPr="008B02D4">
        <w:rPr>
          <w:rFonts w:asciiTheme="minorHAnsi" w:hAnsiTheme="minorHAnsi" w:cstheme="minorHAnsi"/>
          <w:sz w:val="24"/>
          <w:szCs w:val="24"/>
          <w:lang w:eastAsia="pt-BR"/>
        </w:rPr>
        <w:t xml:space="preserve">invista em Títulos Públicos, o mesmo </w:t>
      </w:r>
      <w:r w:rsidR="00340B6B" w:rsidRPr="008B02D4">
        <w:rPr>
          <w:rFonts w:asciiTheme="minorHAnsi" w:hAnsiTheme="minorHAnsi" w:cstheme="minorHAnsi"/>
          <w:sz w:val="24"/>
          <w:szCs w:val="24"/>
          <w:lang w:eastAsia="pt-BR"/>
        </w:rPr>
        <w:t>deverá cumprir cumulativamente as exigências da Portaria MF n° 577, de 27 de dezembro de 2017 sendo elas:</w:t>
      </w:r>
      <w:r w:rsidR="00340B6B" w:rsidRPr="008B02D4">
        <w:rPr>
          <w:rFonts w:asciiTheme="minorHAnsi" w:hAnsiTheme="minorHAnsi" w:cstheme="minorHAnsi"/>
          <w:sz w:val="24"/>
          <w:szCs w:val="24"/>
        </w:rPr>
        <w:t xml:space="preserve"> </w:t>
      </w:r>
    </w:p>
    <w:p w14:paraId="436B9DC2" w14:textId="5ACDA939"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a) compatibilidade com os prazos e taxas das obrigações presentes e futuras do RPPS;</w:t>
      </w:r>
    </w:p>
    <w:p w14:paraId="1290008F" w14:textId="77777777"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b) sejam classificados separadamente dos ativos para negociação, ou seja, daqueles adquiridos com o propósito de serem negociados, independentemente do prazo a decorrer da data da aquisição;</w:t>
      </w:r>
    </w:p>
    <w:p w14:paraId="397222B3" w14:textId="1EE1D9F5"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c) comprovada a intenção e capacidade financeira do RPPS de mantê-los em carteira até o vencimento; e</w:t>
      </w:r>
    </w:p>
    <w:p w14:paraId="12869022" w14:textId="0DD49878" w:rsidR="006D040D" w:rsidRDefault="00340B6B" w:rsidP="006D040D">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d) atendidas as normas de atuária e de contabilidade aplicáveis aos RPPS, inclusive no que se refere à obrigatoriedade de divulgação das informações relativas aos títulos adquiridos, ao impacto nos resultados e aos requisitos e procedimentos, na hipótese de alteração da forma de precificação dos títulos de emissão do Tesouro Nacional.</w:t>
      </w:r>
    </w:p>
    <w:p w14:paraId="77B5CAD1" w14:textId="77777777" w:rsidR="008C35A4" w:rsidRPr="008B02D4" w:rsidRDefault="008C35A4" w:rsidP="006D040D">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006D5E2E" w14:textId="0F77B573" w:rsidR="00340B6B" w:rsidRPr="008B02D4" w:rsidRDefault="00340B6B" w:rsidP="003A39F8">
      <w:pPr>
        <w:pStyle w:val="Ttulo2"/>
        <w:numPr>
          <w:ilvl w:val="1"/>
          <w:numId w:val="4"/>
        </w:numPr>
        <w:ind w:left="0" w:right="-568" w:firstLine="851"/>
        <w:jc w:val="both"/>
        <w:rPr>
          <w:rFonts w:asciiTheme="minorHAnsi" w:hAnsiTheme="minorHAnsi" w:cstheme="minorHAnsi"/>
          <w:b/>
          <w:bCs/>
          <w:szCs w:val="24"/>
        </w:rPr>
      </w:pPr>
      <w:bookmarkStart w:id="22" w:name="_Toc20130599"/>
      <w:bookmarkStart w:id="23" w:name="_Toc490036548"/>
      <w:bookmarkStart w:id="24" w:name="_Toc435202743"/>
      <w:bookmarkStart w:id="25" w:name="_Toc93910764"/>
      <w:bookmarkEnd w:id="22"/>
      <w:bookmarkEnd w:id="23"/>
      <w:r w:rsidRPr="008B02D4">
        <w:rPr>
          <w:rFonts w:asciiTheme="minorHAnsi" w:hAnsiTheme="minorHAnsi" w:cstheme="minorHAnsi"/>
          <w:b/>
          <w:bCs/>
          <w:szCs w:val="24"/>
        </w:rPr>
        <w:lastRenderedPageBreak/>
        <w:t xml:space="preserve">Segmento de Renda Variável, Investimentos Estruturados e Fundos de Investimentos </w:t>
      </w:r>
      <w:bookmarkEnd w:id="24"/>
      <w:r w:rsidRPr="008B02D4">
        <w:rPr>
          <w:rFonts w:asciiTheme="minorHAnsi" w:hAnsiTheme="minorHAnsi" w:cstheme="minorHAnsi"/>
          <w:b/>
          <w:bCs/>
          <w:szCs w:val="24"/>
        </w:rPr>
        <w:t>Imobiliários</w:t>
      </w:r>
      <w:bookmarkEnd w:id="25"/>
      <w:r w:rsidRPr="008B02D4">
        <w:rPr>
          <w:rFonts w:asciiTheme="minorHAnsi" w:hAnsiTheme="minorHAnsi" w:cstheme="minorHAnsi"/>
          <w:b/>
          <w:bCs/>
          <w:szCs w:val="24"/>
        </w:rPr>
        <w:t xml:space="preserve"> </w:t>
      </w:r>
    </w:p>
    <w:p w14:paraId="7E78AE4D" w14:textId="77777777" w:rsidR="00340B6B" w:rsidRPr="008B02D4" w:rsidRDefault="00340B6B" w:rsidP="003A39F8">
      <w:pPr>
        <w:ind w:right="-568" w:firstLine="851"/>
        <w:rPr>
          <w:rFonts w:asciiTheme="minorHAnsi" w:hAnsiTheme="minorHAnsi" w:cstheme="minorHAnsi"/>
          <w:sz w:val="24"/>
          <w:szCs w:val="24"/>
        </w:rPr>
      </w:pPr>
    </w:p>
    <w:p w14:paraId="7EC2C0F5" w14:textId="3B284F7C" w:rsidR="00340B6B" w:rsidRPr="008B02D4" w:rsidRDefault="006A7F28"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Os</w:t>
      </w:r>
      <w:r w:rsidR="00340B6B" w:rsidRPr="008B02D4">
        <w:rPr>
          <w:rFonts w:asciiTheme="minorHAnsi" w:hAnsiTheme="minorHAnsi" w:cstheme="minorHAnsi"/>
          <w:sz w:val="24"/>
          <w:szCs w:val="24"/>
          <w:lang w:eastAsia="pt-BR"/>
        </w:rPr>
        <w:t xml:space="preserve"> investimentos estruturados e </w:t>
      </w:r>
      <w:r w:rsidRPr="008B02D4">
        <w:rPr>
          <w:rFonts w:asciiTheme="minorHAnsi" w:hAnsiTheme="minorHAnsi" w:cstheme="minorHAnsi"/>
          <w:sz w:val="24"/>
          <w:szCs w:val="24"/>
          <w:lang w:eastAsia="pt-BR"/>
        </w:rPr>
        <w:t xml:space="preserve">os </w:t>
      </w:r>
      <w:r w:rsidR="00340B6B" w:rsidRPr="008B02D4">
        <w:rPr>
          <w:rFonts w:asciiTheme="minorHAnsi" w:hAnsiTheme="minorHAnsi" w:cstheme="minorHAnsi"/>
          <w:sz w:val="24"/>
          <w:szCs w:val="24"/>
          <w:lang w:eastAsia="pt-BR"/>
        </w:rPr>
        <w:t xml:space="preserve">fundos de investimentos imobiliários, </w:t>
      </w:r>
      <w:r w:rsidRPr="008B02D4">
        <w:rPr>
          <w:rFonts w:asciiTheme="minorHAnsi" w:hAnsiTheme="minorHAnsi" w:cstheme="minorHAnsi"/>
          <w:sz w:val="24"/>
          <w:szCs w:val="24"/>
          <w:lang w:eastAsia="pt-BR"/>
        </w:rPr>
        <w:t>conforme a</w:t>
      </w:r>
      <w:r w:rsidR="00340B6B" w:rsidRPr="008B02D4">
        <w:rPr>
          <w:rFonts w:asciiTheme="minorHAnsi" w:hAnsiTheme="minorHAnsi" w:cstheme="minorHAnsi"/>
          <w:sz w:val="24"/>
          <w:szCs w:val="24"/>
          <w:lang w:eastAsia="pt-BR"/>
        </w:rPr>
        <w:t xml:space="preserve"> Resolução CMN nº 4.963/2021</w:t>
      </w:r>
      <w:r w:rsidRPr="008B02D4">
        <w:rPr>
          <w:rFonts w:asciiTheme="minorHAnsi" w:hAnsiTheme="minorHAnsi" w:cstheme="minorHAnsi"/>
          <w:sz w:val="24"/>
          <w:szCs w:val="24"/>
          <w:lang w:eastAsia="pt-BR"/>
        </w:rPr>
        <w:t>,</w:t>
      </w:r>
      <w:r w:rsidR="00340B6B" w:rsidRPr="008B02D4">
        <w:rPr>
          <w:rFonts w:asciiTheme="minorHAnsi" w:hAnsiTheme="minorHAnsi" w:cstheme="minorHAnsi"/>
          <w:sz w:val="24"/>
          <w:szCs w:val="24"/>
          <w:lang w:eastAsia="pt-BR"/>
        </w:rPr>
        <w:t xml:space="preserve"> estabelece que o limite legal dos recursos alocados nos segmentos, não poderão exceder cumulativamente ao limite de </w:t>
      </w:r>
      <w:r w:rsidR="009775C5" w:rsidRPr="008B02D4">
        <w:rPr>
          <w:rFonts w:asciiTheme="minorHAnsi" w:hAnsiTheme="minorHAnsi" w:cstheme="minorHAnsi"/>
          <w:b/>
          <w:bCs/>
          <w:sz w:val="24"/>
          <w:szCs w:val="24"/>
          <w:lang w:eastAsia="pt-BR"/>
        </w:rPr>
        <w:t>30</w:t>
      </w:r>
      <w:r w:rsidR="00340B6B" w:rsidRPr="008B02D4">
        <w:rPr>
          <w:rFonts w:asciiTheme="minorHAnsi" w:hAnsiTheme="minorHAnsi" w:cstheme="minorHAnsi"/>
          <w:b/>
          <w:bCs/>
          <w:sz w:val="24"/>
          <w:szCs w:val="24"/>
          <w:lang w:eastAsia="pt-BR"/>
        </w:rPr>
        <w:t>%</w:t>
      </w:r>
      <w:r w:rsidR="00340B6B" w:rsidRPr="008B02D4">
        <w:rPr>
          <w:rFonts w:asciiTheme="minorHAnsi" w:hAnsiTheme="minorHAnsi" w:cstheme="minorHAnsi"/>
          <w:sz w:val="24"/>
          <w:szCs w:val="24"/>
          <w:lang w:eastAsia="pt-BR"/>
        </w:rPr>
        <w:t xml:space="preserve"> da totalidade dos recursos em moeda corrente.</w:t>
      </w:r>
    </w:p>
    <w:p w14:paraId="71E595FE" w14:textId="28E750D0" w:rsidR="00340B6B" w:rsidRDefault="006A7F28" w:rsidP="006D040D">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S</w:t>
      </w:r>
      <w:r w:rsidR="00340B6B" w:rsidRPr="008B02D4">
        <w:rPr>
          <w:rFonts w:asciiTheme="minorHAnsi" w:hAnsiTheme="minorHAnsi" w:cstheme="minorHAnsi"/>
          <w:sz w:val="24"/>
          <w:szCs w:val="24"/>
          <w:lang w:eastAsia="pt-BR"/>
        </w:rPr>
        <w:t xml:space="preserve">egundo </w:t>
      </w:r>
      <w:r w:rsidRPr="008B02D4">
        <w:rPr>
          <w:rFonts w:asciiTheme="minorHAnsi" w:hAnsiTheme="minorHAnsi" w:cstheme="minorHAnsi"/>
          <w:sz w:val="24"/>
          <w:szCs w:val="24"/>
          <w:lang w:eastAsia="pt-BR"/>
        </w:rPr>
        <w:t xml:space="preserve">a </w:t>
      </w:r>
      <w:r w:rsidR="00340B6B" w:rsidRPr="008B02D4">
        <w:rPr>
          <w:rFonts w:asciiTheme="minorHAnsi" w:hAnsiTheme="minorHAnsi" w:cstheme="minorHAnsi"/>
          <w:sz w:val="24"/>
          <w:szCs w:val="24"/>
          <w:lang w:eastAsia="pt-BR"/>
        </w:rPr>
        <w:t xml:space="preserve">Resolução CMN n° </w:t>
      </w:r>
      <w:r w:rsidR="009775C5" w:rsidRPr="008B02D4">
        <w:rPr>
          <w:rFonts w:asciiTheme="minorHAnsi" w:hAnsiTheme="minorHAnsi" w:cstheme="minorHAnsi"/>
          <w:sz w:val="24"/>
          <w:szCs w:val="24"/>
          <w:lang w:eastAsia="pt-BR"/>
        </w:rPr>
        <w:t>4.963/2021</w:t>
      </w:r>
      <w:r w:rsidR="00340B6B" w:rsidRPr="008B02D4">
        <w:rPr>
          <w:rFonts w:asciiTheme="minorHAnsi" w:hAnsiTheme="minorHAnsi" w:cstheme="minorHAnsi"/>
          <w:sz w:val="24"/>
          <w:szCs w:val="24"/>
          <w:lang w:eastAsia="pt-BR"/>
        </w:rPr>
        <w:t xml:space="preserve">, </w:t>
      </w:r>
      <w:r w:rsidRPr="008B02D4">
        <w:rPr>
          <w:rFonts w:asciiTheme="minorHAnsi" w:hAnsiTheme="minorHAnsi" w:cstheme="minorHAnsi"/>
          <w:sz w:val="24"/>
          <w:szCs w:val="24"/>
          <w:lang w:eastAsia="pt-BR"/>
        </w:rPr>
        <w:t xml:space="preserve">são considerados como investimentos estruturados: </w:t>
      </w:r>
      <w:r w:rsidR="00340B6B" w:rsidRPr="008B02D4">
        <w:rPr>
          <w:rFonts w:asciiTheme="minorHAnsi" w:hAnsiTheme="minorHAnsi" w:cstheme="minorHAnsi"/>
          <w:sz w:val="24"/>
          <w:szCs w:val="24"/>
          <w:lang w:eastAsia="pt-BR"/>
        </w:rPr>
        <w:t>os fundos de investimento classificados como multimercado, os fundos de investimento em participações - FIPs e os fundos de investimento classificados como "Ações - Mercado de Acesso".</w:t>
      </w:r>
    </w:p>
    <w:p w14:paraId="765DBCF1" w14:textId="77777777" w:rsidR="008C35A4" w:rsidRPr="008B02D4" w:rsidRDefault="008C35A4" w:rsidP="006D040D">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0FB82198" w14:textId="54DC8D5B" w:rsidR="00340B6B" w:rsidRPr="008B02D4" w:rsidRDefault="00340B6B" w:rsidP="003A39F8">
      <w:pPr>
        <w:pStyle w:val="Ttulo2"/>
        <w:numPr>
          <w:ilvl w:val="1"/>
          <w:numId w:val="4"/>
        </w:numPr>
        <w:ind w:left="0" w:right="-568" w:firstLine="851"/>
        <w:jc w:val="both"/>
        <w:rPr>
          <w:rFonts w:asciiTheme="minorHAnsi" w:hAnsiTheme="minorHAnsi" w:cstheme="minorHAnsi"/>
          <w:b/>
          <w:bCs/>
          <w:szCs w:val="24"/>
        </w:rPr>
      </w:pPr>
      <w:bookmarkStart w:id="26" w:name="_Toc20130600"/>
      <w:bookmarkStart w:id="27" w:name="_Toc93910765"/>
      <w:r w:rsidRPr="008B02D4">
        <w:rPr>
          <w:rFonts w:asciiTheme="minorHAnsi" w:hAnsiTheme="minorHAnsi" w:cstheme="minorHAnsi"/>
          <w:b/>
          <w:bCs/>
          <w:szCs w:val="24"/>
        </w:rPr>
        <w:t>S</w:t>
      </w:r>
      <w:r w:rsidR="009775C5" w:rsidRPr="008B02D4">
        <w:rPr>
          <w:rFonts w:asciiTheme="minorHAnsi" w:hAnsiTheme="minorHAnsi" w:cstheme="minorHAnsi"/>
          <w:b/>
          <w:bCs/>
          <w:szCs w:val="24"/>
        </w:rPr>
        <w:t>egmento de Investimentos</w:t>
      </w:r>
      <w:r w:rsidRPr="008B02D4">
        <w:rPr>
          <w:rFonts w:asciiTheme="minorHAnsi" w:hAnsiTheme="minorHAnsi" w:cstheme="minorHAnsi"/>
          <w:b/>
          <w:bCs/>
          <w:szCs w:val="24"/>
        </w:rPr>
        <w:t xml:space="preserve"> </w:t>
      </w:r>
      <w:bookmarkEnd w:id="26"/>
      <w:r w:rsidR="009775C5" w:rsidRPr="008B02D4">
        <w:rPr>
          <w:rFonts w:asciiTheme="minorHAnsi" w:hAnsiTheme="minorHAnsi" w:cstheme="minorHAnsi"/>
          <w:b/>
          <w:bCs/>
          <w:szCs w:val="24"/>
        </w:rPr>
        <w:t>no Exterior</w:t>
      </w:r>
      <w:bookmarkEnd w:id="27"/>
    </w:p>
    <w:p w14:paraId="36FBCE20" w14:textId="77777777" w:rsidR="009775C5" w:rsidRPr="008B02D4" w:rsidRDefault="009775C5"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25ED827C" w14:textId="60BCB68A" w:rsidR="00340B6B" w:rsidRPr="008B02D4" w:rsidRDefault="009215FC"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Segundo </w:t>
      </w:r>
      <w:r w:rsidR="00340B6B" w:rsidRPr="008B02D4">
        <w:rPr>
          <w:rFonts w:asciiTheme="minorHAnsi" w:hAnsiTheme="minorHAnsi" w:cstheme="minorHAnsi"/>
          <w:sz w:val="24"/>
          <w:szCs w:val="24"/>
          <w:lang w:eastAsia="pt-BR"/>
        </w:rPr>
        <w:t>a Resolução CMN nº 4.963/2021</w:t>
      </w:r>
      <w:r w:rsidRPr="008B02D4">
        <w:rPr>
          <w:rFonts w:asciiTheme="minorHAnsi" w:hAnsiTheme="minorHAnsi" w:cstheme="minorHAnsi"/>
          <w:sz w:val="24"/>
          <w:szCs w:val="24"/>
          <w:lang w:eastAsia="pt-BR"/>
        </w:rPr>
        <w:t>, o segmento classificado como "Investimentos no Exterior",</w:t>
      </w:r>
      <w:r w:rsidR="00340B6B" w:rsidRPr="008B02D4">
        <w:rPr>
          <w:rFonts w:asciiTheme="minorHAnsi" w:hAnsiTheme="minorHAnsi" w:cstheme="minorHAnsi"/>
          <w:sz w:val="24"/>
          <w:szCs w:val="24"/>
          <w:lang w:eastAsia="pt-BR"/>
        </w:rPr>
        <w:t xml:space="preserve"> </w:t>
      </w:r>
      <w:r w:rsidRPr="008B02D4">
        <w:rPr>
          <w:rFonts w:asciiTheme="minorHAnsi" w:hAnsiTheme="minorHAnsi" w:cstheme="minorHAnsi"/>
          <w:sz w:val="24"/>
          <w:szCs w:val="24"/>
          <w:lang w:eastAsia="pt-BR"/>
        </w:rPr>
        <w:t>constitui</w:t>
      </w:r>
      <w:r w:rsidR="00340B6B" w:rsidRPr="008B02D4">
        <w:rPr>
          <w:rFonts w:asciiTheme="minorHAnsi" w:hAnsiTheme="minorHAnsi" w:cstheme="minorHAnsi"/>
          <w:sz w:val="24"/>
          <w:szCs w:val="24"/>
          <w:lang w:eastAsia="pt-BR"/>
        </w:rPr>
        <w:t xml:space="preserve"> que o limite legal dos recursos alocados não poderá exceder cumulativamente ao limite de 10% (dez por cento) da totalidade dos recursos em moeda corrente. </w:t>
      </w:r>
    </w:p>
    <w:p w14:paraId="73F6BF46" w14:textId="60B5CA9A" w:rsidR="00340B6B" w:rsidRDefault="009215FC" w:rsidP="006D040D">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Serão</w:t>
      </w:r>
      <w:r w:rsidR="00340B6B" w:rsidRPr="008B02D4">
        <w:rPr>
          <w:rFonts w:asciiTheme="minorHAnsi" w:hAnsiTheme="minorHAnsi" w:cstheme="minorHAnsi"/>
          <w:sz w:val="24"/>
          <w:szCs w:val="24"/>
          <w:lang w:eastAsia="pt-BR"/>
        </w:rPr>
        <w:t xml:space="preserve"> considerados apenas os fundos de investimentos constituídos no exterior que </w:t>
      </w:r>
      <w:r w:rsidRPr="008B02D4">
        <w:rPr>
          <w:rFonts w:asciiTheme="minorHAnsi" w:hAnsiTheme="minorHAnsi" w:cstheme="minorHAnsi"/>
          <w:sz w:val="24"/>
          <w:szCs w:val="24"/>
          <w:lang w:eastAsia="pt-BR"/>
        </w:rPr>
        <w:t>possuem</w:t>
      </w:r>
      <w:r w:rsidR="00340B6B" w:rsidRPr="008B02D4">
        <w:rPr>
          <w:rFonts w:asciiTheme="minorHAnsi" w:hAnsiTheme="minorHAnsi" w:cstheme="minorHAnsi"/>
          <w:sz w:val="24"/>
          <w:szCs w:val="24"/>
          <w:lang w:eastAsia="pt-BR"/>
        </w:rPr>
        <w:t xml:space="preserve"> histórico de 12 (doze) meses, que seus gestores estejam em atividade há mais de 5 (cinco) anos e administrem o montante de recursos de terceiros equivalente </w:t>
      </w:r>
      <w:r w:rsidR="009775C5" w:rsidRPr="008B02D4">
        <w:rPr>
          <w:rFonts w:asciiTheme="minorHAnsi" w:hAnsiTheme="minorHAnsi" w:cstheme="minorHAnsi"/>
          <w:sz w:val="24"/>
          <w:szCs w:val="24"/>
          <w:lang w:eastAsia="pt-BR"/>
        </w:rPr>
        <w:t>a US$5.000.000.000,00 (cinco bilhões de dólares dos Estados Unidos da América) na data do investimento.</w:t>
      </w:r>
    </w:p>
    <w:p w14:paraId="1DADC20D" w14:textId="77777777" w:rsidR="008C35A4" w:rsidRPr="008B02D4" w:rsidRDefault="008C35A4" w:rsidP="006D040D">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5C14CA27" w14:textId="37BF8629" w:rsidR="00340B6B" w:rsidRPr="008B02D4" w:rsidRDefault="009775C5" w:rsidP="003A39F8">
      <w:pPr>
        <w:pStyle w:val="Ttulo2"/>
        <w:numPr>
          <w:ilvl w:val="1"/>
          <w:numId w:val="4"/>
        </w:numPr>
        <w:ind w:left="0" w:right="-568" w:firstLine="851"/>
        <w:jc w:val="both"/>
        <w:rPr>
          <w:rFonts w:asciiTheme="minorHAnsi" w:hAnsiTheme="minorHAnsi" w:cstheme="minorHAnsi"/>
          <w:b/>
          <w:bCs/>
          <w:szCs w:val="24"/>
        </w:rPr>
      </w:pPr>
      <w:bookmarkStart w:id="28" w:name="_Toc20130601"/>
      <w:bookmarkStart w:id="29" w:name="_Toc93910766"/>
      <w:r w:rsidRPr="008B02D4">
        <w:rPr>
          <w:rFonts w:asciiTheme="minorHAnsi" w:hAnsiTheme="minorHAnsi" w:cstheme="minorHAnsi"/>
          <w:b/>
          <w:bCs/>
          <w:szCs w:val="24"/>
        </w:rPr>
        <w:t>Empréstimo Consignado</w:t>
      </w:r>
      <w:bookmarkEnd w:id="28"/>
      <w:bookmarkEnd w:id="29"/>
    </w:p>
    <w:p w14:paraId="22BB1685" w14:textId="77777777" w:rsidR="009775C5" w:rsidRPr="008B02D4" w:rsidRDefault="009775C5"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249C1F66" w14:textId="3A5C3AB6" w:rsidR="00340B6B" w:rsidRPr="008B02D4" w:rsidRDefault="00CF1F40"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lastRenderedPageBreak/>
        <w:t xml:space="preserve">Segundo </w:t>
      </w:r>
      <w:r w:rsidR="00340B6B" w:rsidRPr="008B02D4">
        <w:rPr>
          <w:rFonts w:asciiTheme="minorHAnsi" w:hAnsiTheme="minorHAnsi" w:cstheme="minorHAnsi"/>
          <w:sz w:val="24"/>
          <w:szCs w:val="24"/>
          <w:lang w:eastAsia="pt-BR"/>
        </w:rPr>
        <w:t>a Resolução CMN nº 4.963/2021</w:t>
      </w:r>
      <w:r w:rsidRPr="008B02D4">
        <w:rPr>
          <w:rFonts w:asciiTheme="minorHAnsi" w:hAnsiTheme="minorHAnsi" w:cstheme="minorHAnsi"/>
          <w:sz w:val="24"/>
          <w:szCs w:val="24"/>
          <w:lang w:eastAsia="pt-BR"/>
        </w:rPr>
        <w:t>, para o segmento de empréstimos a segurados, na modalidade consignados, estabelece</w:t>
      </w:r>
      <w:r w:rsidR="00340B6B" w:rsidRPr="008B02D4">
        <w:rPr>
          <w:rFonts w:asciiTheme="minorHAnsi" w:hAnsiTheme="minorHAnsi" w:cstheme="minorHAnsi"/>
          <w:sz w:val="24"/>
          <w:szCs w:val="24"/>
          <w:lang w:eastAsia="pt-BR"/>
        </w:rPr>
        <w:t xml:space="preserve"> que o limite legal de </w:t>
      </w:r>
      <w:r w:rsidR="009775C5" w:rsidRPr="008B02D4">
        <w:rPr>
          <w:rFonts w:asciiTheme="minorHAnsi" w:hAnsiTheme="minorHAnsi" w:cstheme="minorHAnsi"/>
          <w:b/>
          <w:bCs/>
          <w:sz w:val="24"/>
          <w:szCs w:val="24"/>
          <w:lang w:eastAsia="pt-BR"/>
        </w:rPr>
        <w:t>5,00</w:t>
      </w:r>
      <w:r w:rsidR="00340B6B" w:rsidRPr="008B02D4">
        <w:rPr>
          <w:rFonts w:asciiTheme="minorHAnsi" w:hAnsiTheme="minorHAnsi" w:cstheme="minorHAnsi"/>
          <w:b/>
          <w:bCs/>
          <w:sz w:val="24"/>
          <w:szCs w:val="24"/>
          <w:lang w:eastAsia="pt-BR"/>
        </w:rPr>
        <w:t>%</w:t>
      </w:r>
      <w:r w:rsidRPr="008B02D4">
        <w:rPr>
          <w:rFonts w:asciiTheme="minorHAnsi" w:hAnsiTheme="minorHAnsi" w:cstheme="minorHAnsi"/>
          <w:b/>
          <w:bCs/>
          <w:sz w:val="24"/>
          <w:szCs w:val="24"/>
          <w:lang w:eastAsia="pt-BR"/>
        </w:rPr>
        <w:t xml:space="preserve"> para os regimes que não alcançarem os níveis de governança previstos no </w:t>
      </w:r>
      <w:r w:rsidRPr="008B02D4">
        <w:rPr>
          <w:rFonts w:asciiTheme="minorHAnsi" w:hAnsiTheme="minorHAnsi" w:cstheme="minorHAnsi"/>
          <w:sz w:val="24"/>
          <w:szCs w:val="24"/>
          <w:lang w:eastAsia="pt-BR"/>
        </w:rPr>
        <w:t xml:space="preserve">§ 7 </w:t>
      </w:r>
      <w:r w:rsidRPr="008B02D4">
        <w:rPr>
          <w:rFonts w:asciiTheme="minorHAnsi" w:hAnsiTheme="minorHAnsi" w:cstheme="minorHAnsi"/>
          <w:b/>
          <w:bCs/>
          <w:sz w:val="24"/>
          <w:szCs w:val="24"/>
          <w:lang w:eastAsia="pt-BR"/>
        </w:rPr>
        <w:t>Art.</w:t>
      </w:r>
      <w:r w:rsidRPr="008B02D4">
        <w:rPr>
          <w:rFonts w:asciiTheme="minorHAnsi" w:hAnsiTheme="minorHAnsi" w:cstheme="minorHAnsi"/>
          <w:sz w:val="24"/>
          <w:szCs w:val="24"/>
          <w:lang w:eastAsia="pt-BR"/>
        </w:rPr>
        <w:t xml:space="preserve"> 7</w:t>
      </w:r>
      <w:r w:rsidR="00340B6B" w:rsidRPr="008B02D4">
        <w:rPr>
          <w:rFonts w:asciiTheme="minorHAnsi" w:hAnsiTheme="minorHAnsi" w:cstheme="minorHAnsi"/>
          <w:sz w:val="24"/>
          <w:szCs w:val="24"/>
          <w:lang w:eastAsia="pt-BR"/>
        </w:rPr>
        <w:t>.</w:t>
      </w:r>
    </w:p>
    <w:p w14:paraId="1A08134B" w14:textId="77777777" w:rsidR="004034D0" w:rsidRPr="008B02D4" w:rsidRDefault="004034D0"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rPr>
        <w:t xml:space="preserve">Os </w:t>
      </w:r>
      <w:r w:rsidRPr="008B02D4">
        <w:rPr>
          <w:rFonts w:asciiTheme="minorHAnsi" w:hAnsiTheme="minorHAnsi" w:cstheme="minorHAnsi"/>
          <w:sz w:val="24"/>
          <w:szCs w:val="24"/>
          <w:lang w:eastAsia="pt-BR"/>
        </w:rPr>
        <w:t>parâmetros de rentabilidade perseguidos para a carteira de empréstimos consignados deverão buscar compatibilidade com o perfil das obrigações do RPPS, tendo em vista a necessidade de busca e manutenção do equilíbrio financeiro e atuarial.</w:t>
      </w:r>
    </w:p>
    <w:p w14:paraId="07D0CE77" w14:textId="25B29FFF" w:rsidR="00340B6B" w:rsidRDefault="00CF1F40"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Caso seja implantado </w:t>
      </w:r>
      <w:r w:rsidR="004034D0" w:rsidRPr="008B02D4">
        <w:rPr>
          <w:rFonts w:asciiTheme="minorHAnsi" w:hAnsiTheme="minorHAnsi" w:cstheme="minorHAnsi"/>
          <w:sz w:val="24"/>
          <w:szCs w:val="24"/>
          <w:lang w:eastAsia="pt-BR"/>
        </w:rPr>
        <w:t xml:space="preserve">por este </w:t>
      </w:r>
      <w:r w:rsidRPr="008B02D4">
        <w:rPr>
          <w:rFonts w:asciiTheme="minorHAnsi" w:hAnsiTheme="minorHAnsi" w:cstheme="minorHAnsi"/>
          <w:sz w:val="24"/>
          <w:szCs w:val="24"/>
          <w:lang w:eastAsia="pt-BR"/>
        </w:rPr>
        <w:t>RPPS</w:t>
      </w:r>
      <w:r w:rsidR="00340B6B" w:rsidRPr="008B02D4">
        <w:rPr>
          <w:rFonts w:asciiTheme="minorHAnsi" w:hAnsiTheme="minorHAnsi" w:cstheme="minorHAnsi"/>
          <w:sz w:val="24"/>
          <w:szCs w:val="24"/>
          <w:lang w:eastAsia="pt-BR"/>
        </w:rPr>
        <w:t xml:space="preserve">, não serão considerados </w:t>
      </w:r>
      <w:r w:rsidR="0024006D" w:rsidRPr="008B02D4">
        <w:rPr>
          <w:rFonts w:asciiTheme="minorHAnsi" w:hAnsiTheme="minorHAnsi" w:cstheme="minorHAnsi"/>
          <w:sz w:val="24"/>
          <w:szCs w:val="24"/>
          <w:lang w:eastAsia="pt-BR"/>
        </w:rPr>
        <w:t>desenquadramento</w:t>
      </w:r>
      <w:r w:rsidR="00340B6B" w:rsidRPr="008B02D4">
        <w:rPr>
          <w:rFonts w:asciiTheme="minorHAnsi" w:hAnsiTheme="minorHAnsi" w:cstheme="minorHAnsi"/>
          <w:sz w:val="24"/>
          <w:szCs w:val="24"/>
          <w:lang w:eastAsia="pt-BR"/>
        </w:rPr>
        <w:t xml:space="preserve"> os limites aqui definidos, tendo o </w:t>
      </w:r>
      <w:r w:rsidR="002B1E38" w:rsidRPr="008B02D4">
        <w:rPr>
          <w:rFonts w:asciiTheme="minorHAnsi" w:hAnsiTheme="minorHAnsi" w:cstheme="minorHAnsi"/>
          <w:sz w:val="24"/>
          <w:szCs w:val="24"/>
          <w:lang w:eastAsia="pt-BR"/>
        </w:rPr>
        <w:t xml:space="preserve">RPPS </w:t>
      </w:r>
      <w:r w:rsidR="00340B6B" w:rsidRPr="008B02D4">
        <w:rPr>
          <w:rFonts w:asciiTheme="minorHAnsi" w:hAnsiTheme="minorHAnsi" w:cstheme="minorHAnsi"/>
          <w:sz w:val="24"/>
          <w:szCs w:val="24"/>
          <w:lang w:eastAsia="pt-BR"/>
        </w:rPr>
        <w:t>prazo de 60 (sessenta) dias para revisão e adequação da sua Política de Investimentos em atendimento aos novos parâmetros, especificamente o Art. 12, § 11 da Resolução CMN nº 4.963/2021.</w:t>
      </w:r>
      <w:bookmarkStart w:id="30" w:name="_Toc20130602"/>
      <w:bookmarkStart w:id="31" w:name="_Toc490036550"/>
      <w:bookmarkStart w:id="32" w:name="_Toc496794768"/>
      <w:bookmarkStart w:id="33" w:name="_Toc496794769"/>
      <w:bookmarkStart w:id="34" w:name="_Toc496794770"/>
      <w:bookmarkStart w:id="35" w:name="_Toc496794771"/>
      <w:bookmarkStart w:id="36" w:name="_Toc496794772"/>
      <w:bookmarkEnd w:id="30"/>
      <w:bookmarkEnd w:id="31"/>
      <w:bookmarkEnd w:id="32"/>
      <w:bookmarkEnd w:id="33"/>
      <w:bookmarkEnd w:id="34"/>
      <w:bookmarkEnd w:id="35"/>
      <w:bookmarkEnd w:id="36"/>
    </w:p>
    <w:p w14:paraId="548E17BC" w14:textId="77777777" w:rsidR="009E3E19" w:rsidRPr="008B02D4" w:rsidRDefault="009E3E19"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708D526A" w14:textId="3CE25627" w:rsidR="00340B6B" w:rsidRPr="008B02D4" w:rsidRDefault="002B1E38" w:rsidP="003A39F8">
      <w:pPr>
        <w:pStyle w:val="Ttulo2"/>
        <w:numPr>
          <w:ilvl w:val="1"/>
          <w:numId w:val="4"/>
        </w:numPr>
        <w:ind w:left="0" w:right="-568" w:firstLine="851"/>
        <w:jc w:val="both"/>
        <w:rPr>
          <w:rFonts w:asciiTheme="minorHAnsi" w:eastAsia="Times New Roman" w:hAnsiTheme="minorHAnsi" w:cstheme="minorHAnsi"/>
          <w:szCs w:val="24"/>
        </w:rPr>
      </w:pPr>
      <w:bookmarkStart w:id="37" w:name="_Toc93910767"/>
      <w:r w:rsidRPr="008B02D4">
        <w:rPr>
          <w:rFonts w:asciiTheme="minorHAnsi" w:hAnsiTheme="minorHAnsi" w:cstheme="minorHAnsi"/>
          <w:b/>
          <w:bCs/>
          <w:szCs w:val="24"/>
        </w:rPr>
        <w:t>Limites Gerais</w:t>
      </w:r>
      <w:bookmarkEnd w:id="37"/>
    </w:p>
    <w:p w14:paraId="5B3DBE2A" w14:textId="77777777" w:rsidR="002B1E38" w:rsidRPr="008B02D4" w:rsidRDefault="002B1E38"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1AA518FB" w14:textId="77777777" w:rsidR="005514EA" w:rsidRPr="008B02D4" w:rsidRDefault="005514EA"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Para verificação do cumprimento dos limites, estabelecidos na Resolução CMN 4.963/21, as aplicações dos recursos realizadas diretamente pelos RPPS, ou indiretamente por meio de fundos de investimento ou de fundos de investimento em cotas de fundos de investimento, devem ser consolidadas com as posições das carteiras próprias e carteiras administradas. </w:t>
      </w:r>
    </w:p>
    <w:p w14:paraId="20AEB412" w14:textId="77777777"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Os limites utilizados para investimentos em títulos e valores mobiliários de emissão ou coobrigação de uma mesma pessoa jurídica serão os mesmos dispostos na Resolução CMN n° 4.963/2021.</w:t>
      </w:r>
    </w:p>
    <w:p w14:paraId="063459EE" w14:textId="77777777" w:rsidR="005514EA" w:rsidRPr="008B02D4" w:rsidRDefault="005514EA"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As aplicações em cotas de um mesmo fundo de investimento, fundo de investimento em cotas de fundos de investimento ou fundo de índice não podem, direta ou indiretamente, exceder a 20% (vinte por cento) das aplicações dos recursos do regime próprio de previdência social. Essa regra não será aplicada quando os fundos de investimento que apliquem seus recursos exclusivamente em títulos definidos na alínea “a” do inciso I do art. 7º da Resolução CMN 4.963/21 ou em compromissadas lastreadas nesses títulos.</w:t>
      </w:r>
    </w:p>
    <w:p w14:paraId="2B7F2E9B" w14:textId="18E5D9E8" w:rsidR="00340B6B" w:rsidRPr="008B02D4" w:rsidRDefault="005514EA"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lastRenderedPageBreak/>
        <w:t xml:space="preserve">O total das aplicações dos recursos do regime próprio de previdência social em um mesmo fundo de investimento </w:t>
      </w:r>
      <w:r w:rsidR="00340B6B" w:rsidRPr="008B02D4">
        <w:rPr>
          <w:rFonts w:asciiTheme="minorHAnsi" w:hAnsiTheme="minorHAnsi" w:cstheme="minorHAnsi"/>
          <w:sz w:val="24"/>
          <w:szCs w:val="24"/>
          <w:lang w:eastAsia="pt-BR"/>
        </w:rPr>
        <w:t>limita-se em 15% (quinze por cento). Para os fundos de investimentos classificados como FIDC - Fundos de Investimentos em Direitos Creditórios, Crédito Privado e FI de Infraestrutura, a exposição no patrimônio líquido de em um mesmo fundo de investimento limitar-se-ão à 5% (cinco por cento).</w:t>
      </w:r>
    </w:p>
    <w:p w14:paraId="492BBC36" w14:textId="19E62358"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Para os fundos de investimentos classificados como FIDC - Fundos de Investimentos em Direitos Creditórios, que fazem parte da carteira de investimentos do </w:t>
      </w:r>
      <w:r w:rsidR="002B1E38" w:rsidRPr="008B02D4">
        <w:rPr>
          <w:rFonts w:asciiTheme="minorHAnsi" w:hAnsiTheme="minorHAnsi" w:cstheme="minorHAnsi"/>
          <w:sz w:val="24"/>
          <w:szCs w:val="24"/>
          <w:lang w:eastAsia="pt-BR"/>
        </w:rPr>
        <w:t>RPPS</w:t>
      </w:r>
      <w:r w:rsidRPr="008B02D4">
        <w:rPr>
          <w:rFonts w:asciiTheme="minorHAnsi" w:hAnsiTheme="minorHAnsi" w:cstheme="minorHAnsi"/>
          <w:sz w:val="24"/>
          <w:szCs w:val="24"/>
          <w:lang w:eastAsia="pt-BR"/>
        </w:rPr>
        <w:t xml:space="preserve"> a partir de 1º de janeiro de 2015, o limite estabelecido no parágrafo anterior, deverá ser calculado em proporção ao total de cotas da classe sênior e não do total de cotas do fundo de investimento.</w:t>
      </w:r>
    </w:p>
    <w:p w14:paraId="2DE03D88" w14:textId="12D240A6"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O total das aplicações dos recursos do </w:t>
      </w:r>
      <w:r w:rsidR="002E57B0" w:rsidRPr="008B02D4">
        <w:rPr>
          <w:rFonts w:asciiTheme="minorHAnsi" w:hAnsiTheme="minorHAnsi" w:cstheme="minorHAnsi"/>
          <w:sz w:val="24"/>
          <w:szCs w:val="24"/>
          <w:lang w:eastAsia="pt-BR"/>
        </w:rPr>
        <w:t>RPPS</w:t>
      </w:r>
      <w:r w:rsidRPr="008B02D4">
        <w:rPr>
          <w:rFonts w:asciiTheme="minorHAnsi" w:hAnsiTheme="minorHAnsi" w:cstheme="minorHAnsi"/>
          <w:sz w:val="24"/>
          <w:szCs w:val="24"/>
          <w:lang w:eastAsia="pt-BR"/>
        </w:rPr>
        <w:t xml:space="preserve"> em fundos de investimento não pode exceder a </w:t>
      </w:r>
      <w:r w:rsidRPr="008B02D4">
        <w:rPr>
          <w:rFonts w:asciiTheme="minorHAnsi" w:hAnsiTheme="minorHAnsi" w:cstheme="minorHAnsi"/>
          <w:b/>
          <w:bCs/>
          <w:sz w:val="24"/>
          <w:szCs w:val="24"/>
          <w:lang w:eastAsia="pt-BR"/>
        </w:rPr>
        <w:t>5%</w:t>
      </w:r>
      <w:r w:rsidRPr="008B02D4">
        <w:rPr>
          <w:rFonts w:asciiTheme="minorHAnsi" w:hAnsiTheme="minorHAnsi" w:cstheme="minorHAnsi"/>
          <w:sz w:val="24"/>
          <w:szCs w:val="24"/>
          <w:lang w:eastAsia="pt-BR"/>
        </w:rPr>
        <w:t xml:space="preserve"> do volume total de recursos de terceiros gerido por um mesmo gestor ou por gestoras ligadas ao seu respectivo grupo econômico.</w:t>
      </w:r>
    </w:p>
    <w:p w14:paraId="41350049" w14:textId="2D6BD8E5" w:rsidR="00EA6138" w:rsidRPr="008B02D4" w:rsidRDefault="00340B6B" w:rsidP="008C35A4">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Na obtenção da Certificação Institucional Pró-Gestão, os limites definidos nesta Política de Investimentos serão elevados gradativamente de acordo com o nível conquistado em consonância com o disposto no art. 7º, § 7º, art. 8º, § 3º e art. 10º, § 2º da Resolução CMN nº4.963/2021</w:t>
      </w:r>
      <w:r w:rsidR="00EA6138">
        <w:rPr>
          <w:rFonts w:asciiTheme="minorHAnsi" w:hAnsiTheme="minorHAnsi" w:cstheme="minorHAnsi"/>
          <w:sz w:val="24"/>
          <w:szCs w:val="24"/>
          <w:lang w:eastAsia="pt-BR"/>
        </w:rPr>
        <w:t>.</w:t>
      </w:r>
    </w:p>
    <w:p w14:paraId="4786E8EF" w14:textId="1DA2F3F0" w:rsidR="002E57B0" w:rsidRDefault="002E57B0" w:rsidP="003A39F8">
      <w:pPr>
        <w:pStyle w:val="Ttulo2"/>
        <w:numPr>
          <w:ilvl w:val="1"/>
          <w:numId w:val="4"/>
        </w:numPr>
        <w:spacing w:before="288"/>
        <w:ind w:left="0" w:right="-568" w:firstLine="851"/>
        <w:jc w:val="both"/>
        <w:rPr>
          <w:rFonts w:asciiTheme="minorHAnsi" w:hAnsiTheme="minorHAnsi" w:cstheme="minorHAnsi"/>
          <w:b/>
          <w:bCs/>
          <w:szCs w:val="24"/>
        </w:rPr>
      </w:pPr>
      <w:bookmarkStart w:id="38" w:name="_Toc93910768"/>
      <w:r w:rsidRPr="008B02D4">
        <w:rPr>
          <w:rFonts w:asciiTheme="minorHAnsi" w:hAnsiTheme="minorHAnsi" w:cstheme="minorHAnsi"/>
          <w:b/>
          <w:bCs/>
          <w:szCs w:val="24"/>
        </w:rPr>
        <w:t>Demais Enquadramentos</w:t>
      </w:r>
      <w:bookmarkEnd w:id="38"/>
    </w:p>
    <w:p w14:paraId="5673E49D" w14:textId="77777777" w:rsidR="00EA6138" w:rsidRPr="00EA6138" w:rsidRDefault="00EA6138" w:rsidP="00EA6138"/>
    <w:p w14:paraId="3B2557BB" w14:textId="4C2D1A9C" w:rsidR="00F14167" w:rsidRPr="008B02D4" w:rsidRDefault="00F14167"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O RPPS poderá manter em carteira, por até 180 (cento e oitenta) dias, as aplicações que passem a ficar desenquadradas em relação a esta Resolução CMN nº 4.963/2021, desde que seja comprovado que o desenquadramento foi decorrente de situações involuntárias, para as quais não tenha dado causa, e que o seu desinvestimento ocasionaria, comparativamente à sua manutenção, maiores riscos para o atendimento aos princípios previstos no art. 1º da Resolução CMN nº 4.963/2021.</w:t>
      </w:r>
    </w:p>
    <w:p w14:paraId="16285022" w14:textId="607C3E5E"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Poderão ainda ser mantidas em carteira de investimentos, até seu respectivo encerramento, os fundos de investimentos que apresentem prazos para vencimento, resgate, carência ou conversão de cotas superior a 180 (cento e oitenta) dias, estando </w:t>
      </w:r>
      <w:r w:rsidR="00F14167" w:rsidRPr="008B02D4">
        <w:rPr>
          <w:rFonts w:asciiTheme="minorHAnsi" w:hAnsiTheme="minorHAnsi" w:cstheme="minorHAnsi"/>
          <w:sz w:val="24"/>
          <w:szCs w:val="24"/>
          <w:lang w:eastAsia="pt-BR"/>
        </w:rPr>
        <w:t>o RPPS</w:t>
      </w:r>
      <w:r w:rsidRPr="008B02D4">
        <w:rPr>
          <w:rFonts w:asciiTheme="minorHAnsi" w:hAnsiTheme="minorHAnsi" w:cstheme="minorHAnsi"/>
          <w:sz w:val="24"/>
          <w:szCs w:val="24"/>
          <w:lang w:eastAsia="pt-BR"/>
        </w:rPr>
        <w:t xml:space="preserve"> obrigado </w:t>
      </w:r>
      <w:r w:rsidRPr="008B02D4">
        <w:rPr>
          <w:rFonts w:asciiTheme="minorHAnsi" w:hAnsiTheme="minorHAnsi" w:cstheme="minorHAnsi"/>
          <w:sz w:val="24"/>
          <w:szCs w:val="24"/>
          <w:lang w:eastAsia="pt-BR"/>
        </w:rPr>
        <w:lastRenderedPageBreak/>
        <w:t xml:space="preserve">a demonstrar a adoção de medidas de melhoria da governança e do controle de riscos na gestão dos recursos. </w:t>
      </w:r>
    </w:p>
    <w:p w14:paraId="2396E053" w14:textId="77777777"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Serão entendidos como situações involuntárias: </w:t>
      </w:r>
    </w:p>
    <w:p w14:paraId="6E289DED" w14:textId="77777777"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a) Entrada em vigor de alterações da Resolução vigente; </w:t>
      </w:r>
    </w:p>
    <w:p w14:paraId="273F7BC5" w14:textId="1F28435A"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b) Resgate de cotas de fundos de investimento por um outro cotista, nos quais o </w:t>
      </w:r>
      <w:r w:rsidR="00025F77" w:rsidRPr="008B02D4">
        <w:rPr>
          <w:rFonts w:asciiTheme="minorHAnsi" w:hAnsiTheme="minorHAnsi" w:cstheme="minorHAnsi"/>
          <w:sz w:val="24"/>
          <w:szCs w:val="24"/>
          <w:lang w:eastAsia="pt-BR"/>
        </w:rPr>
        <w:t>RPPS</w:t>
      </w:r>
      <w:r w:rsidRPr="008B02D4">
        <w:rPr>
          <w:rFonts w:asciiTheme="minorHAnsi" w:hAnsiTheme="minorHAnsi" w:cstheme="minorHAnsi"/>
          <w:sz w:val="24"/>
          <w:szCs w:val="24"/>
          <w:lang w:eastAsia="pt-BR"/>
        </w:rPr>
        <w:t xml:space="preserve"> não efetue novos aportes; </w:t>
      </w:r>
    </w:p>
    <w:p w14:paraId="497BF2FB" w14:textId="0863105A"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c) Valorização ou desvalorização dos demais ativos financeiros e fundos de investimentos que incorporam a carteira de investimentos do </w:t>
      </w:r>
      <w:r w:rsidR="00025F77" w:rsidRPr="008B02D4">
        <w:rPr>
          <w:rFonts w:asciiTheme="minorHAnsi" w:hAnsiTheme="minorHAnsi" w:cstheme="minorHAnsi"/>
          <w:sz w:val="24"/>
          <w:szCs w:val="24"/>
          <w:lang w:eastAsia="pt-BR"/>
        </w:rPr>
        <w:t>RPPS</w:t>
      </w:r>
      <w:r w:rsidRPr="008B02D4">
        <w:rPr>
          <w:rFonts w:asciiTheme="minorHAnsi" w:hAnsiTheme="minorHAnsi" w:cstheme="minorHAnsi"/>
          <w:sz w:val="24"/>
          <w:szCs w:val="24"/>
          <w:lang w:eastAsia="pt-BR"/>
        </w:rPr>
        <w:t xml:space="preserve">; </w:t>
      </w:r>
    </w:p>
    <w:p w14:paraId="33256CCA" w14:textId="5AECC0F3"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d) Reorganização da estrutura do fundo de investimento em decorrência de incorporação, fusão, cisão e transformação ou de outras deliberações da assembleia geral de cotistas, após as aplicações realizadas pelo </w:t>
      </w:r>
      <w:r w:rsidR="00025F77" w:rsidRPr="008B02D4">
        <w:rPr>
          <w:rFonts w:asciiTheme="minorHAnsi" w:hAnsiTheme="minorHAnsi" w:cstheme="minorHAnsi"/>
          <w:sz w:val="24"/>
          <w:szCs w:val="24"/>
          <w:lang w:eastAsia="pt-BR"/>
        </w:rPr>
        <w:t>RPPS</w:t>
      </w:r>
      <w:r w:rsidRPr="008B02D4">
        <w:rPr>
          <w:rFonts w:asciiTheme="minorHAnsi" w:hAnsiTheme="minorHAnsi" w:cstheme="minorHAnsi"/>
          <w:sz w:val="24"/>
          <w:szCs w:val="24"/>
          <w:lang w:eastAsia="pt-BR"/>
        </w:rPr>
        <w:t xml:space="preserve">; </w:t>
      </w:r>
    </w:p>
    <w:p w14:paraId="3DCB408C" w14:textId="7B446974"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e) Ocorrência de eventos de riscos que prejudiquem a formação das reservas e a evolução do patrimônio </w:t>
      </w:r>
      <w:r w:rsidR="00025F77" w:rsidRPr="008B02D4">
        <w:rPr>
          <w:rFonts w:asciiTheme="minorHAnsi" w:hAnsiTheme="minorHAnsi" w:cstheme="minorHAnsi"/>
          <w:sz w:val="24"/>
          <w:szCs w:val="24"/>
          <w:lang w:eastAsia="pt-BR"/>
        </w:rPr>
        <w:t>do RPPS</w:t>
      </w:r>
      <w:r w:rsidRPr="008B02D4">
        <w:rPr>
          <w:rFonts w:asciiTheme="minorHAnsi" w:hAnsiTheme="minorHAnsi" w:cstheme="minorHAnsi"/>
          <w:sz w:val="24"/>
          <w:szCs w:val="24"/>
          <w:lang w:eastAsia="pt-BR"/>
        </w:rPr>
        <w:t xml:space="preserve"> ou quando decorrentes de revisão do plano de custeio e da segregação da massa; </w:t>
      </w:r>
    </w:p>
    <w:p w14:paraId="3978196B" w14:textId="3F387091"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f) Aplicações efetuadas na aquisição de cotas de fundo de investimento destinado exclusivamente a investidores qualificados ou profissionais, caso o </w:t>
      </w:r>
      <w:r w:rsidR="00025F77" w:rsidRPr="008B02D4">
        <w:rPr>
          <w:rFonts w:asciiTheme="minorHAnsi" w:hAnsiTheme="minorHAnsi" w:cstheme="minorHAnsi"/>
          <w:sz w:val="24"/>
          <w:szCs w:val="24"/>
          <w:lang w:eastAsia="pt-BR"/>
        </w:rPr>
        <w:t>RPPS</w:t>
      </w:r>
      <w:r w:rsidRPr="008B02D4">
        <w:rPr>
          <w:rFonts w:asciiTheme="minorHAnsi" w:hAnsiTheme="minorHAnsi" w:cstheme="minorHAnsi"/>
          <w:sz w:val="24"/>
          <w:szCs w:val="24"/>
          <w:lang w:eastAsia="pt-BR"/>
        </w:rPr>
        <w:t xml:space="preserve"> deixe de atender aos critérios estabelecidos para essa categorização em regulamentação específica; e </w:t>
      </w:r>
    </w:p>
    <w:p w14:paraId="4F74008D" w14:textId="77777777"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g) Aplicações efetuadas em fundos de investimentos ou ativos financeiros que deixarem de observar os requisitos e condições previstos na Resolução CMN nº 4.963/2021. </w:t>
      </w:r>
    </w:p>
    <w:p w14:paraId="30460388" w14:textId="04E38B95"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Complementarmente ao processo de Credenciamento, somente serão considerados aptos ou enquadrados a receberem recursos do </w:t>
      </w:r>
      <w:r w:rsidR="00025F77" w:rsidRPr="008B02D4">
        <w:rPr>
          <w:rFonts w:asciiTheme="minorHAnsi" w:hAnsiTheme="minorHAnsi" w:cstheme="minorHAnsi"/>
          <w:sz w:val="24"/>
          <w:szCs w:val="24"/>
          <w:lang w:eastAsia="pt-BR"/>
        </w:rPr>
        <w:t>RPPS</w:t>
      </w:r>
      <w:r w:rsidRPr="008B02D4">
        <w:rPr>
          <w:rFonts w:asciiTheme="minorHAnsi" w:hAnsiTheme="minorHAnsi" w:cstheme="minorHAnsi"/>
          <w:sz w:val="24"/>
          <w:szCs w:val="24"/>
          <w:lang w:eastAsia="pt-BR"/>
        </w:rPr>
        <w:t xml:space="preserve"> os fundos de investimento que possuam por prestadores de serviços de gestão e administração de recursos, as Instituições Financeiras que atendem cumulativamente as condições: </w:t>
      </w:r>
    </w:p>
    <w:p w14:paraId="090237E0" w14:textId="77777777"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a) O administrador ou gestor dos recursos seja instituição autorizada a funcionar pelo Banco Central do Brasil, obrigada a instituir comitê de auditoria e comitê de riscos nos termos da regulamentação do Conselho Monetário Nacional; </w:t>
      </w:r>
    </w:p>
    <w:p w14:paraId="35263A15" w14:textId="77777777"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lastRenderedPageBreak/>
        <w:t xml:space="preserve">b) O administrador do fundo de investimento detenha, no máximo, 50% dos recursos sob sua administração oriundos Regimes Próprios de Previdência Social e </w:t>
      </w:r>
    </w:p>
    <w:p w14:paraId="168F09D4" w14:textId="3DD94FAD"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c) O gestor e o administrador do fundo de investimento tenham sido objeto de prévio credenciamento e que seja considerado pelos responsáveis pela gestão dos recursos do </w:t>
      </w:r>
      <w:r w:rsidR="00025F77" w:rsidRPr="008B02D4">
        <w:rPr>
          <w:rFonts w:asciiTheme="minorHAnsi" w:hAnsiTheme="minorHAnsi" w:cstheme="minorHAnsi"/>
          <w:sz w:val="24"/>
          <w:szCs w:val="24"/>
          <w:lang w:eastAsia="pt-BR"/>
        </w:rPr>
        <w:t>RPPS</w:t>
      </w:r>
      <w:r w:rsidRPr="008B02D4">
        <w:rPr>
          <w:rFonts w:asciiTheme="minorHAnsi" w:hAnsiTheme="minorHAnsi" w:cstheme="minorHAnsi"/>
          <w:sz w:val="24"/>
          <w:szCs w:val="24"/>
          <w:lang w:eastAsia="pt-BR"/>
        </w:rPr>
        <w:t xml:space="preserve"> como de boa qualidade de gestão e ambiente de controle de investimento. </w:t>
      </w:r>
    </w:p>
    <w:p w14:paraId="0878C776" w14:textId="72DA6CBD" w:rsidR="00340B6B" w:rsidRPr="008B02D4" w:rsidRDefault="00340B6B"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Em atendimento aos requisitos dispostos, deverão ser observados apenas quando da aplicação dos recursos, podendo os fundos de investimentos não enquadrados nos termos acima, permanecer na carteira de investimentos </w:t>
      </w:r>
      <w:r w:rsidR="00025F77" w:rsidRPr="008B02D4">
        <w:rPr>
          <w:rFonts w:asciiTheme="minorHAnsi" w:hAnsiTheme="minorHAnsi" w:cstheme="minorHAnsi"/>
          <w:sz w:val="24"/>
          <w:szCs w:val="24"/>
          <w:lang w:eastAsia="pt-BR"/>
        </w:rPr>
        <w:t>do RPPS</w:t>
      </w:r>
      <w:r w:rsidRPr="008B02D4">
        <w:rPr>
          <w:rFonts w:asciiTheme="minorHAnsi" w:hAnsiTheme="minorHAnsi" w:cstheme="minorHAnsi"/>
          <w:sz w:val="24"/>
          <w:szCs w:val="24"/>
          <w:lang w:eastAsia="pt-BR"/>
        </w:rPr>
        <w:t xml:space="preserve"> até seu respectivo resgate ou vencimento. </w:t>
      </w:r>
    </w:p>
    <w:p w14:paraId="5426CDFE" w14:textId="1E81875C" w:rsidR="00340B6B" w:rsidRDefault="00340B6B" w:rsidP="006D040D">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Na obtenção da Certificação Institucional Pró-Gestão, não serão considerados desenquadramentos os limites aqui definidos, tendo o </w:t>
      </w:r>
      <w:r w:rsidR="00025F77" w:rsidRPr="008B02D4">
        <w:rPr>
          <w:rFonts w:asciiTheme="minorHAnsi" w:hAnsiTheme="minorHAnsi" w:cstheme="minorHAnsi"/>
          <w:sz w:val="24"/>
          <w:szCs w:val="24"/>
          <w:lang w:eastAsia="pt-BR"/>
        </w:rPr>
        <w:t>RPPS</w:t>
      </w:r>
      <w:r w:rsidRPr="008B02D4">
        <w:rPr>
          <w:rFonts w:asciiTheme="minorHAnsi" w:hAnsiTheme="minorHAnsi" w:cstheme="minorHAnsi"/>
          <w:sz w:val="24"/>
          <w:szCs w:val="24"/>
          <w:lang w:eastAsia="pt-BR"/>
        </w:rPr>
        <w:t xml:space="preserve"> prazo de 60 (sessenta) dias para revisão e adequação da sua Política de Investimentos em atendimento aos novos limites. </w:t>
      </w:r>
    </w:p>
    <w:p w14:paraId="31498EAA" w14:textId="77777777" w:rsidR="005E0178" w:rsidRPr="006D040D" w:rsidRDefault="005E0178" w:rsidP="006D040D">
      <w:pPr>
        <w:autoSpaceDE w:val="0"/>
        <w:autoSpaceDN w:val="0"/>
        <w:adjustRightInd w:val="0"/>
        <w:spacing w:after="0" w:line="360" w:lineRule="auto"/>
        <w:ind w:right="-568" w:firstLine="851"/>
        <w:jc w:val="both"/>
        <w:rPr>
          <w:rStyle w:val="Ttulo1Char"/>
          <w:rFonts w:asciiTheme="minorHAnsi" w:eastAsia="Calibri" w:hAnsiTheme="minorHAnsi" w:cstheme="minorHAnsi"/>
          <w:b w:val="0"/>
          <w:color w:val="auto"/>
          <w:szCs w:val="24"/>
          <w:lang w:eastAsia="pt-BR"/>
        </w:rPr>
      </w:pPr>
    </w:p>
    <w:p w14:paraId="3040CC78" w14:textId="710203DF" w:rsidR="006D040D" w:rsidRDefault="006208FF" w:rsidP="006D040D">
      <w:pPr>
        <w:pStyle w:val="PargrafodaLista"/>
        <w:numPr>
          <w:ilvl w:val="0"/>
          <w:numId w:val="4"/>
        </w:numPr>
        <w:autoSpaceDE w:val="0"/>
        <w:autoSpaceDN w:val="0"/>
        <w:adjustRightInd w:val="0"/>
        <w:spacing w:before="120" w:after="120" w:line="240" w:lineRule="auto"/>
        <w:ind w:left="0" w:right="-568" w:firstLine="851"/>
        <w:jc w:val="both"/>
        <w:rPr>
          <w:rStyle w:val="Ttulo1Char"/>
          <w:rFonts w:asciiTheme="minorHAnsi" w:hAnsiTheme="minorHAnsi" w:cstheme="minorHAnsi"/>
          <w:bCs/>
          <w:szCs w:val="24"/>
        </w:rPr>
      </w:pPr>
      <w:bookmarkStart w:id="39" w:name="_Toc93910769"/>
      <w:r w:rsidRPr="008B02D4">
        <w:rPr>
          <w:rStyle w:val="Ttulo1Char"/>
          <w:rFonts w:asciiTheme="minorHAnsi" w:hAnsiTheme="minorHAnsi" w:cstheme="minorHAnsi"/>
          <w:bCs/>
          <w:szCs w:val="24"/>
        </w:rPr>
        <w:t xml:space="preserve">Política da </w:t>
      </w:r>
      <w:r w:rsidR="00F9765A" w:rsidRPr="008B02D4">
        <w:rPr>
          <w:rStyle w:val="Ttulo1Char"/>
          <w:rFonts w:asciiTheme="minorHAnsi" w:hAnsiTheme="minorHAnsi" w:cstheme="minorHAnsi"/>
          <w:bCs/>
          <w:szCs w:val="24"/>
        </w:rPr>
        <w:t>Transparência</w:t>
      </w:r>
      <w:bookmarkEnd w:id="39"/>
      <w:r w:rsidR="00F9765A" w:rsidRPr="008B02D4">
        <w:rPr>
          <w:rStyle w:val="Ttulo1Char"/>
          <w:rFonts w:asciiTheme="minorHAnsi" w:hAnsiTheme="minorHAnsi" w:cstheme="minorHAnsi"/>
          <w:bCs/>
          <w:szCs w:val="24"/>
        </w:rPr>
        <w:t xml:space="preserve"> </w:t>
      </w:r>
    </w:p>
    <w:p w14:paraId="514EF8EF" w14:textId="77777777" w:rsidR="006D040D" w:rsidRPr="006D040D" w:rsidRDefault="006D040D" w:rsidP="006D040D">
      <w:pPr>
        <w:pStyle w:val="PargrafodaLista"/>
        <w:autoSpaceDE w:val="0"/>
        <w:autoSpaceDN w:val="0"/>
        <w:adjustRightInd w:val="0"/>
        <w:spacing w:before="120" w:after="120" w:line="240" w:lineRule="auto"/>
        <w:ind w:left="851" w:right="-568"/>
        <w:jc w:val="both"/>
        <w:rPr>
          <w:rFonts w:asciiTheme="minorHAnsi" w:eastAsiaTheme="majorEastAsia" w:hAnsiTheme="minorHAnsi" w:cstheme="minorHAnsi"/>
          <w:b/>
          <w:bCs/>
          <w:color w:val="000000" w:themeColor="text1"/>
          <w:sz w:val="24"/>
          <w:szCs w:val="24"/>
        </w:rPr>
      </w:pPr>
    </w:p>
    <w:p w14:paraId="4F83CBA2" w14:textId="6C136665" w:rsidR="00F9765A" w:rsidRPr="008B02D4" w:rsidRDefault="00F9765A"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 xml:space="preserve">Todos os processos envolvendo a </w:t>
      </w:r>
      <w:r w:rsidR="009215FC" w:rsidRPr="008B02D4">
        <w:rPr>
          <w:rFonts w:asciiTheme="minorHAnsi" w:hAnsiTheme="minorHAnsi" w:cstheme="minorHAnsi"/>
          <w:sz w:val="24"/>
          <w:szCs w:val="24"/>
          <w:lang w:eastAsia="pt-BR"/>
        </w:rPr>
        <w:t>Política</w:t>
      </w:r>
      <w:r w:rsidRPr="008B02D4">
        <w:rPr>
          <w:rFonts w:asciiTheme="minorHAnsi" w:hAnsiTheme="minorHAnsi" w:cstheme="minorHAnsi"/>
          <w:sz w:val="24"/>
          <w:szCs w:val="24"/>
          <w:lang w:eastAsia="pt-BR"/>
        </w:rPr>
        <w:t xml:space="preserve"> de Investimentos</w:t>
      </w:r>
      <w:r w:rsidR="00C14592" w:rsidRPr="008B02D4">
        <w:rPr>
          <w:rFonts w:asciiTheme="minorHAnsi" w:hAnsiTheme="minorHAnsi" w:cstheme="minorHAnsi"/>
          <w:sz w:val="24"/>
          <w:szCs w:val="24"/>
          <w:lang w:eastAsia="pt-BR"/>
        </w:rPr>
        <w:t>, as informações contidas nos formulários APR, a composição da carteira de investimentos do RPPS</w:t>
      </w:r>
      <w:r w:rsidR="004034D0" w:rsidRPr="008B02D4">
        <w:rPr>
          <w:rFonts w:asciiTheme="minorHAnsi" w:hAnsiTheme="minorHAnsi" w:cstheme="minorHAnsi"/>
          <w:sz w:val="24"/>
          <w:szCs w:val="24"/>
          <w:lang w:eastAsia="pt-BR"/>
        </w:rPr>
        <w:t>, - os procedimentos de seleção das eventuais entidades autorizadas e credenciadas e de contratação de prestadores de serviços, as informações relativas ao processo de credenciamento de instituições para receber as aplicações dos recursos do RPPS, a relação das entidades credenciadas para atuar com o RPPS e respectiva data de atualização do credenciamento e as datas e locais das reuniões dos conselhos deliberativo e fiscal e do comitê de investimentos e respectivas atas</w:t>
      </w:r>
      <w:r w:rsidRPr="008B02D4">
        <w:rPr>
          <w:rFonts w:asciiTheme="minorHAnsi" w:hAnsiTheme="minorHAnsi" w:cstheme="minorHAnsi"/>
          <w:sz w:val="24"/>
          <w:szCs w:val="24"/>
          <w:lang w:eastAsia="pt-BR"/>
        </w:rPr>
        <w:t xml:space="preserve"> s</w:t>
      </w:r>
      <w:r w:rsidR="004034D0" w:rsidRPr="008B02D4">
        <w:rPr>
          <w:rFonts w:asciiTheme="minorHAnsi" w:hAnsiTheme="minorHAnsi" w:cstheme="minorHAnsi"/>
          <w:sz w:val="24"/>
          <w:szCs w:val="24"/>
          <w:lang w:eastAsia="pt-BR"/>
        </w:rPr>
        <w:t>erão</w:t>
      </w:r>
      <w:r w:rsidRPr="008B02D4">
        <w:rPr>
          <w:rFonts w:asciiTheme="minorHAnsi" w:hAnsiTheme="minorHAnsi" w:cstheme="minorHAnsi"/>
          <w:sz w:val="24"/>
          <w:szCs w:val="24"/>
          <w:lang w:eastAsia="pt-BR"/>
        </w:rPr>
        <w:t xml:space="preserve"> divulgados no sítio eletrônico do RPPS</w:t>
      </w:r>
      <w:r w:rsidR="006D5EDD" w:rsidRPr="008B02D4">
        <w:rPr>
          <w:rFonts w:asciiTheme="minorHAnsi" w:hAnsiTheme="minorHAnsi" w:cstheme="minorHAnsi"/>
          <w:sz w:val="24"/>
          <w:szCs w:val="24"/>
          <w:lang w:eastAsia="pt-BR"/>
        </w:rPr>
        <w:t xml:space="preserve"> ou em local de fácil acesso e visualização, sem prejuízo de outros canais oficiais de comunicação.</w:t>
      </w:r>
      <w:r w:rsidRPr="008B02D4">
        <w:rPr>
          <w:rFonts w:asciiTheme="minorHAnsi" w:hAnsiTheme="minorHAnsi" w:cstheme="minorHAnsi"/>
          <w:sz w:val="24"/>
          <w:szCs w:val="24"/>
          <w:lang w:eastAsia="pt-BR"/>
        </w:rPr>
        <w:t xml:space="preserve"> Tendo em vista a exigência contida no art. 4º, incisos I, II, III, IV e V, parágrafo primeiro e segundo e ainda, art. 5º da Resolução CMN nº 4.963/2021</w:t>
      </w:r>
      <w:r w:rsidR="00904FA8" w:rsidRPr="008B02D4">
        <w:rPr>
          <w:rFonts w:asciiTheme="minorHAnsi" w:hAnsiTheme="minorHAnsi" w:cstheme="minorHAnsi"/>
          <w:sz w:val="24"/>
          <w:szCs w:val="24"/>
          <w:lang w:eastAsia="pt-BR"/>
        </w:rPr>
        <w:t>.</w:t>
      </w:r>
    </w:p>
    <w:p w14:paraId="3F4C3132" w14:textId="77777777" w:rsidR="004034D0" w:rsidRPr="008B02D4" w:rsidRDefault="004034D0"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69703BA5" w14:textId="01194957" w:rsidR="00904FA8" w:rsidRPr="008B02D4" w:rsidRDefault="00904FA8" w:rsidP="003A39F8">
      <w:pPr>
        <w:pStyle w:val="PargrafodaLista"/>
        <w:numPr>
          <w:ilvl w:val="0"/>
          <w:numId w:val="4"/>
        </w:numPr>
        <w:autoSpaceDE w:val="0"/>
        <w:autoSpaceDN w:val="0"/>
        <w:adjustRightInd w:val="0"/>
        <w:spacing w:before="120" w:after="120" w:line="240" w:lineRule="auto"/>
        <w:ind w:left="0" w:right="-568" w:firstLine="851"/>
        <w:jc w:val="both"/>
        <w:rPr>
          <w:rStyle w:val="Ttulo1Char"/>
          <w:rFonts w:asciiTheme="minorHAnsi" w:hAnsiTheme="minorHAnsi" w:cstheme="minorHAnsi"/>
          <w:bCs/>
          <w:szCs w:val="24"/>
        </w:rPr>
      </w:pPr>
      <w:bookmarkStart w:id="40" w:name="_Toc93910770"/>
      <w:r w:rsidRPr="008B02D4">
        <w:rPr>
          <w:rStyle w:val="Ttulo1Char"/>
          <w:rFonts w:asciiTheme="minorHAnsi" w:hAnsiTheme="minorHAnsi" w:cstheme="minorHAnsi"/>
          <w:bCs/>
          <w:szCs w:val="24"/>
        </w:rPr>
        <w:lastRenderedPageBreak/>
        <w:t>Plano de Contingência</w:t>
      </w:r>
      <w:bookmarkEnd w:id="40"/>
      <w:r w:rsidRPr="008B02D4">
        <w:rPr>
          <w:rStyle w:val="Ttulo1Char"/>
          <w:rFonts w:asciiTheme="minorHAnsi" w:hAnsiTheme="minorHAnsi" w:cstheme="minorHAnsi"/>
          <w:bCs/>
          <w:szCs w:val="24"/>
        </w:rPr>
        <w:t xml:space="preserve"> </w:t>
      </w:r>
    </w:p>
    <w:p w14:paraId="75077081" w14:textId="77777777" w:rsidR="00735B2D" w:rsidRPr="008B02D4" w:rsidRDefault="00735B2D"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317CB09D" w14:textId="56154433" w:rsidR="008C0AE8" w:rsidRPr="008B02D4" w:rsidRDefault="00735B2D" w:rsidP="003A39F8">
      <w:pPr>
        <w:autoSpaceDE w:val="0"/>
        <w:autoSpaceDN w:val="0"/>
        <w:adjustRightInd w:val="0"/>
        <w:spacing w:after="0" w:line="360" w:lineRule="auto"/>
        <w:ind w:right="-568" w:firstLine="851"/>
        <w:jc w:val="both"/>
        <w:rPr>
          <w:rFonts w:asciiTheme="minorHAnsi" w:hAnsiTheme="minorHAnsi" w:cstheme="minorHAnsi"/>
          <w:sz w:val="24"/>
          <w:szCs w:val="24"/>
          <w:u w:val="single"/>
          <w:lang w:eastAsia="pt-BR"/>
        </w:rPr>
      </w:pPr>
      <w:r w:rsidRPr="008B02D4">
        <w:rPr>
          <w:rFonts w:asciiTheme="minorHAnsi" w:hAnsiTheme="minorHAnsi" w:cstheme="minorHAnsi"/>
          <w:sz w:val="24"/>
          <w:szCs w:val="24"/>
          <w:lang w:eastAsia="pt-BR"/>
        </w:rPr>
        <w:t>O RPPS estabelece que poderá adotar os procedimentos abaixo relacionados, visando readequar</w:t>
      </w:r>
      <w:r w:rsidR="000E2844" w:rsidRPr="008B02D4">
        <w:rPr>
          <w:rFonts w:asciiTheme="minorHAnsi" w:hAnsiTheme="minorHAnsi" w:cstheme="minorHAnsi"/>
          <w:sz w:val="24"/>
          <w:szCs w:val="24"/>
          <w:lang w:eastAsia="pt-BR"/>
        </w:rPr>
        <w:t xml:space="preserve"> </w:t>
      </w:r>
      <w:r w:rsidRPr="008B02D4">
        <w:rPr>
          <w:rFonts w:asciiTheme="minorHAnsi" w:hAnsiTheme="minorHAnsi" w:cstheme="minorHAnsi"/>
          <w:sz w:val="24"/>
          <w:szCs w:val="24"/>
          <w:lang w:eastAsia="pt-BR"/>
        </w:rPr>
        <w:t>a carteira de investimento a legislação e normas desta Política de Investimentos:</w:t>
      </w:r>
    </w:p>
    <w:p w14:paraId="65578964" w14:textId="4438EF38" w:rsidR="000E2844" w:rsidRPr="008B02D4" w:rsidRDefault="000E2844" w:rsidP="003A39F8">
      <w:pPr>
        <w:pStyle w:val="PargrafodaLista"/>
        <w:numPr>
          <w:ilvl w:val="0"/>
          <w:numId w:val="30"/>
        </w:numPr>
        <w:autoSpaceDE w:val="0"/>
        <w:autoSpaceDN w:val="0"/>
        <w:adjustRightInd w:val="0"/>
        <w:spacing w:after="0" w:line="360" w:lineRule="auto"/>
        <w:ind w:left="0"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u w:val="single"/>
          <w:lang w:eastAsia="pt-BR"/>
        </w:rPr>
        <w:t>Descumprimento dos limites da legislação vigente ou da Política de Investimentos:</w:t>
      </w:r>
      <w:r w:rsidRPr="008B02D4">
        <w:rPr>
          <w:rFonts w:asciiTheme="minorHAnsi" w:hAnsiTheme="minorHAnsi" w:cstheme="minorHAnsi"/>
          <w:sz w:val="24"/>
          <w:szCs w:val="24"/>
          <w:lang w:eastAsia="pt-BR"/>
        </w:rPr>
        <w:t xml:space="preserve"> Regularização logo após identificação do descumprimento à legislação vigente, com movimentações dos recursos. </w:t>
      </w:r>
    </w:p>
    <w:p w14:paraId="5D35A929" w14:textId="4A695A8E" w:rsidR="000E2844" w:rsidRPr="008B02D4" w:rsidRDefault="000E2844" w:rsidP="003A39F8">
      <w:pPr>
        <w:autoSpaceDE w:val="0"/>
        <w:autoSpaceDN w:val="0"/>
        <w:adjustRightInd w:val="0"/>
        <w:spacing w:after="0" w:line="360" w:lineRule="auto"/>
        <w:ind w:right="-568" w:firstLine="851"/>
        <w:jc w:val="both"/>
        <w:rPr>
          <w:rFonts w:asciiTheme="minorHAnsi" w:hAnsiTheme="minorHAnsi" w:cstheme="minorHAnsi"/>
          <w:sz w:val="24"/>
          <w:szCs w:val="24"/>
          <w:lang w:eastAsia="pt-BR"/>
        </w:rPr>
      </w:pPr>
    </w:p>
    <w:p w14:paraId="45CD0540" w14:textId="6AACCD6C" w:rsidR="00BE5A1E" w:rsidRPr="006340EA" w:rsidRDefault="000E2844" w:rsidP="006340EA">
      <w:pPr>
        <w:pStyle w:val="PargrafodaLista"/>
        <w:numPr>
          <w:ilvl w:val="0"/>
          <w:numId w:val="30"/>
        </w:numPr>
        <w:autoSpaceDE w:val="0"/>
        <w:autoSpaceDN w:val="0"/>
        <w:adjustRightInd w:val="0"/>
        <w:spacing w:after="0" w:line="360" w:lineRule="auto"/>
        <w:ind w:left="0" w:right="-568" w:firstLine="851"/>
        <w:jc w:val="both"/>
        <w:rPr>
          <w:rFonts w:asciiTheme="minorHAnsi" w:hAnsiTheme="minorHAnsi" w:cstheme="minorHAnsi"/>
          <w:sz w:val="24"/>
          <w:szCs w:val="24"/>
          <w:u w:val="single"/>
          <w:lang w:eastAsia="pt-BR"/>
        </w:rPr>
      </w:pPr>
      <w:r w:rsidRPr="008B02D4">
        <w:rPr>
          <w:rFonts w:asciiTheme="minorHAnsi" w:hAnsiTheme="minorHAnsi" w:cstheme="minorHAnsi"/>
          <w:sz w:val="24"/>
          <w:szCs w:val="24"/>
          <w:u w:val="single"/>
          <w:lang w:eastAsia="pt-BR"/>
        </w:rPr>
        <w:t xml:space="preserve">Excessiva exposição a riscos: </w:t>
      </w:r>
      <w:r w:rsidRPr="008B02D4">
        <w:rPr>
          <w:rFonts w:asciiTheme="minorHAnsi" w:hAnsiTheme="minorHAnsi" w:cstheme="minorHAnsi"/>
          <w:sz w:val="24"/>
          <w:szCs w:val="24"/>
          <w:lang w:eastAsia="pt-BR"/>
        </w:rPr>
        <w:t>Caso os responsáveis pela gestão dos recursos do RPPS percebam a existência de potencial perda de recursos da carteira, será efetuada uma análise da carteira em reunião com os responsáveis diretos pelos investimentos do RPPS para avaliação do ajuste necessário.</w:t>
      </w:r>
    </w:p>
    <w:p w14:paraId="72E44307" w14:textId="63682A67" w:rsidR="00F9765A" w:rsidRDefault="00F9765A" w:rsidP="006340EA">
      <w:pPr>
        <w:pStyle w:val="PargrafodaLista"/>
        <w:numPr>
          <w:ilvl w:val="0"/>
          <w:numId w:val="4"/>
        </w:numPr>
        <w:autoSpaceDE w:val="0"/>
        <w:autoSpaceDN w:val="0"/>
        <w:adjustRightInd w:val="0"/>
        <w:spacing w:before="120" w:after="120" w:line="240" w:lineRule="auto"/>
        <w:ind w:left="0" w:right="-568" w:firstLine="851"/>
        <w:jc w:val="both"/>
        <w:rPr>
          <w:rStyle w:val="Ttulo1Char"/>
          <w:rFonts w:asciiTheme="minorHAnsi" w:hAnsiTheme="minorHAnsi" w:cstheme="minorHAnsi"/>
          <w:bCs/>
          <w:szCs w:val="24"/>
        </w:rPr>
      </w:pPr>
      <w:bookmarkStart w:id="41" w:name="_Toc93910771"/>
      <w:r w:rsidRPr="008B02D4">
        <w:rPr>
          <w:rStyle w:val="Ttulo1Char"/>
          <w:rFonts w:asciiTheme="minorHAnsi" w:hAnsiTheme="minorHAnsi" w:cstheme="minorHAnsi"/>
          <w:bCs/>
          <w:szCs w:val="24"/>
        </w:rPr>
        <w:t>Vedações</w:t>
      </w:r>
      <w:bookmarkEnd w:id="41"/>
    </w:p>
    <w:p w14:paraId="716B6FBB" w14:textId="77777777" w:rsidR="006340EA" w:rsidRPr="006340EA" w:rsidRDefault="006340EA" w:rsidP="006340EA">
      <w:pPr>
        <w:pStyle w:val="PargrafodaLista"/>
        <w:autoSpaceDE w:val="0"/>
        <w:autoSpaceDN w:val="0"/>
        <w:adjustRightInd w:val="0"/>
        <w:spacing w:before="120" w:after="120" w:line="240" w:lineRule="auto"/>
        <w:ind w:left="851" w:right="-568"/>
        <w:jc w:val="both"/>
        <w:rPr>
          <w:rFonts w:asciiTheme="minorHAnsi" w:eastAsiaTheme="majorEastAsia" w:hAnsiTheme="minorHAnsi" w:cstheme="minorHAnsi"/>
          <w:b/>
          <w:bCs/>
          <w:color w:val="000000" w:themeColor="text1"/>
          <w:sz w:val="24"/>
          <w:szCs w:val="24"/>
        </w:rPr>
      </w:pPr>
    </w:p>
    <w:p w14:paraId="5373F728" w14:textId="1441F2A2" w:rsidR="00ED565B" w:rsidRPr="008B02D4" w:rsidRDefault="00F9765A" w:rsidP="006340EA">
      <w:pPr>
        <w:autoSpaceDE w:val="0"/>
        <w:autoSpaceDN w:val="0"/>
        <w:adjustRightInd w:val="0"/>
        <w:spacing w:after="0" w:line="360" w:lineRule="auto"/>
        <w:ind w:right="-568" w:firstLine="851"/>
        <w:jc w:val="both"/>
        <w:rPr>
          <w:rFonts w:asciiTheme="minorHAnsi" w:hAnsiTheme="minorHAnsi" w:cstheme="minorHAnsi"/>
          <w:sz w:val="24"/>
          <w:szCs w:val="24"/>
          <w:lang w:eastAsia="pt-BR"/>
        </w:rPr>
      </w:pPr>
      <w:r w:rsidRPr="008B02D4">
        <w:rPr>
          <w:rFonts w:asciiTheme="minorHAnsi" w:hAnsiTheme="minorHAnsi" w:cstheme="minorHAnsi"/>
          <w:sz w:val="24"/>
          <w:szCs w:val="24"/>
          <w:lang w:eastAsia="pt-BR"/>
        </w:rPr>
        <w:t>Está vedado quaisquer investimentos que não estiver</w:t>
      </w:r>
      <w:r w:rsidR="006D5EDD" w:rsidRPr="008B02D4">
        <w:rPr>
          <w:rFonts w:asciiTheme="minorHAnsi" w:hAnsiTheme="minorHAnsi" w:cstheme="minorHAnsi"/>
          <w:sz w:val="24"/>
          <w:szCs w:val="24"/>
          <w:lang w:eastAsia="pt-BR"/>
        </w:rPr>
        <w:t>em</w:t>
      </w:r>
      <w:r w:rsidRPr="008B02D4">
        <w:rPr>
          <w:rFonts w:asciiTheme="minorHAnsi" w:hAnsiTheme="minorHAnsi" w:cstheme="minorHAnsi"/>
          <w:sz w:val="24"/>
          <w:szCs w:val="24"/>
          <w:lang w:eastAsia="pt-BR"/>
        </w:rPr>
        <w:t xml:space="preserve"> enquadrado</w:t>
      </w:r>
      <w:r w:rsidR="006D5EDD" w:rsidRPr="008B02D4">
        <w:rPr>
          <w:rFonts w:asciiTheme="minorHAnsi" w:hAnsiTheme="minorHAnsi" w:cstheme="minorHAnsi"/>
          <w:sz w:val="24"/>
          <w:szCs w:val="24"/>
          <w:lang w:eastAsia="pt-BR"/>
        </w:rPr>
        <w:t>s</w:t>
      </w:r>
      <w:r w:rsidRPr="008B02D4">
        <w:rPr>
          <w:rFonts w:asciiTheme="minorHAnsi" w:hAnsiTheme="minorHAnsi" w:cstheme="minorHAnsi"/>
          <w:sz w:val="24"/>
          <w:szCs w:val="24"/>
          <w:lang w:eastAsia="pt-BR"/>
        </w:rPr>
        <w:t xml:space="preserve"> perante a Resolução CMN 4963/21, exceto aqueles já constantes da carteira antes das mudanças legais, que se faz necessária a justificativa para a continuidade desses ativos na carteira de investimentos do RPPS perante a Secretaria de Previdência Social, até o vencimento e/ou encerramento dos fundos.</w:t>
      </w:r>
      <w:r w:rsidR="00420C5F" w:rsidRPr="008B02D4">
        <w:rPr>
          <w:rFonts w:asciiTheme="minorHAnsi" w:hAnsiTheme="minorHAnsi" w:cstheme="minorHAnsi"/>
          <w:sz w:val="24"/>
          <w:szCs w:val="24"/>
          <w:lang w:eastAsia="pt-BR"/>
        </w:rPr>
        <w:tab/>
      </w:r>
    </w:p>
    <w:p w14:paraId="4D9EF9C0" w14:textId="16A146EE" w:rsidR="009D095E" w:rsidRPr="008B02D4" w:rsidRDefault="009D095E" w:rsidP="003A39F8">
      <w:pPr>
        <w:pStyle w:val="Ttulo1"/>
        <w:numPr>
          <w:ilvl w:val="0"/>
          <w:numId w:val="4"/>
        </w:numPr>
        <w:spacing w:line="360" w:lineRule="auto"/>
        <w:ind w:left="0" w:right="-568" w:firstLine="851"/>
        <w:rPr>
          <w:rFonts w:asciiTheme="minorHAnsi" w:hAnsiTheme="minorHAnsi" w:cstheme="minorHAnsi"/>
          <w:szCs w:val="24"/>
          <w:lang w:eastAsia="pt-BR"/>
        </w:rPr>
      </w:pPr>
      <w:bookmarkStart w:id="42" w:name="_Toc93910772"/>
      <w:r w:rsidRPr="008B02D4">
        <w:rPr>
          <w:rFonts w:asciiTheme="minorHAnsi" w:hAnsiTheme="minorHAnsi" w:cstheme="minorHAnsi"/>
          <w:szCs w:val="24"/>
          <w:lang w:eastAsia="pt-BR"/>
        </w:rPr>
        <w:t>Disposições Gerais</w:t>
      </w:r>
      <w:bookmarkEnd w:id="42"/>
    </w:p>
    <w:p w14:paraId="19EA4BA2" w14:textId="2486C256" w:rsidR="009D095E" w:rsidRPr="008B02D4" w:rsidRDefault="009D095E" w:rsidP="003A39F8">
      <w:pPr>
        <w:autoSpaceDE w:val="0"/>
        <w:autoSpaceDN w:val="0"/>
        <w:adjustRightInd w:val="0"/>
        <w:spacing w:after="0" w:line="360" w:lineRule="auto"/>
        <w:ind w:right="-568" w:firstLine="851"/>
        <w:jc w:val="both"/>
        <w:rPr>
          <w:rFonts w:asciiTheme="minorHAnsi" w:hAnsiTheme="minorHAnsi" w:cstheme="minorHAnsi"/>
          <w:b/>
          <w:bCs/>
          <w:sz w:val="24"/>
          <w:szCs w:val="24"/>
          <w:lang w:eastAsia="pt-BR"/>
        </w:rPr>
      </w:pPr>
    </w:p>
    <w:p w14:paraId="60DA1AAF" w14:textId="561E855D" w:rsidR="009D095E" w:rsidRPr="008B02D4" w:rsidRDefault="009D095E" w:rsidP="003A39F8">
      <w:pPr>
        <w:autoSpaceDE w:val="0"/>
        <w:autoSpaceDN w:val="0"/>
        <w:adjustRightInd w:val="0"/>
        <w:spacing w:after="0" w:line="360" w:lineRule="auto"/>
        <w:ind w:right="-568" w:firstLine="851"/>
        <w:jc w:val="both"/>
        <w:rPr>
          <w:rFonts w:asciiTheme="minorHAnsi" w:hAnsiTheme="minorHAnsi" w:cstheme="minorHAnsi"/>
          <w:b/>
          <w:bCs/>
          <w:sz w:val="24"/>
          <w:szCs w:val="24"/>
          <w:lang w:eastAsia="pt-BR"/>
        </w:rPr>
      </w:pPr>
      <w:r w:rsidRPr="008B02D4">
        <w:rPr>
          <w:rFonts w:asciiTheme="minorHAnsi" w:hAnsiTheme="minorHAnsi" w:cstheme="minorHAnsi"/>
          <w:sz w:val="24"/>
          <w:szCs w:val="24"/>
        </w:rPr>
        <w:t>A presente Política de Investimentos poderá ser revista no curso de sua execução e deverá ser monitorada no curto prazo, a contar da data de sua aprovação pelo órgão superior competente do</w:t>
      </w:r>
      <w:r w:rsidR="003C108C">
        <w:rPr>
          <w:rFonts w:asciiTheme="minorHAnsi" w:hAnsiTheme="minorHAnsi" w:cstheme="minorHAnsi"/>
          <w:sz w:val="24"/>
          <w:szCs w:val="24"/>
        </w:rPr>
        <w:t xml:space="preserve"> Instituto de Previdência Social dos Servidores Públicos Municipais de Governador Jorge Teixeira </w:t>
      </w:r>
      <w:r w:rsidRPr="008B02D4">
        <w:rPr>
          <w:rFonts w:asciiTheme="minorHAnsi" w:hAnsiTheme="minorHAnsi" w:cstheme="minorHAnsi"/>
          <w:sz w:val="24"/>
          <w:szCs w:val="24"/>
        </w:rPr>
        <w:t xml:space="preserve">, sendo que o prazo de validade compreenderá o </w:t>
      </w:r>
      <w:r w:rsidRPr="008B02D4">
        <w:rPr>
          <w:rFonts w:asciiTheme="minorHAnsi" w:hAnsiTheme="minorHAnsi" w:cstheme="minorHAnsi"/>
          <w:b/>
          <w:bCs/>
          <w:sz w:val="24"/>
          <w:szCs w:val="24"/>
        </w:rPr>
        <w:t>ano de 202</w:t>
      </w:r>
      <w:r w:rsidR="00762642">
        <w:rPr>
          <w:rFonts w:asciiTheme="minorHAnsi" w:hAnsiTheme="minorHAnsi" w:cstheme="minorHAnsi"/>
          <w:b/>
          <w:bCs/>
          <w:sz w:val="24"/>
          <w:szCs w:val="24"/>
        </w:rPr>
        <w:t>4</w:t>
      </w:r>
      <w:r w:rsidRPr="008B02D4">
        <w:rPr>
          <w:rFonts w:asciiTheme="minorHAnsi" w:hAnsiTheme="minorHAnsi" w:cstheme="minorHAnsi"/>
          <w:sz w:val="24"/>
          <w:szCs w:val="24"/>
        </w:rPr>
        <w:t>.</w:t>
      </w:r>
    </w:p>
    <w:p w14:paraId="79893311" w14:textId="5C61A1F1" w:rsidR="009D095E" w:rsidRPr="008B02D4" w:rsidRDefault="009D095E" w:rsidP="003A39F8">
      <w:pPr>
        <w:autoSpaceDE w:val="0"/>
        <w:autoSpaceDN w:val="0"/>
        <w:adjustRightInd w:val="0"/>
        <w:spacing w:after="0" w:line="360" w:lineRule="auto"/>
        <w:ind w:right="-568" w:firstLine="851"/>
        <w:jc w:val="both"/>
        <w:rPr>
          <w:rFonts w:asciiTheme="minorHAnsi" w:hAnsiTheme="minorHAnsi" w:cstheme="minorHAnsi"/>
          <w:sz w:val="24"/>
          <w:szCs w:val="24"/>
        </w:rPr>
      </w:pPr>
      <w:r w:rsidRPr="008B02D4">
        <w:rPr>
          <w:rFonts w:asciiTheme="minorHAnsi" w:hAnsiTheme="minorHAnsi" w:cstheme="minorHAnsi"/>
          <w:sz w:val="24"/>
          <w:szCs w:val="24"/>
        </w:rPr>
        <w:t xml:space="preserve">Reuniões extraordinárias junto ao Comitê gestor de investimentos do RPPS serão realizadas sempre que houver necessidade de ajustes nesta política de investimentos perante </w:t>
      </w:r>
      <w:r w:rsidRPr="008B02D4">
        <w:rPr>
          <w:rFonts w:asciiTheme="minorHAnsi" w:hAnsiTheme="minorHAnsi" w:cstheme="minorHAnsi"/>
          <w:sz w:val="24"/>
          <w:szCs w:val="24"/>
        </w:rPr>
        <w:lastRenderedPageBreak/>
        <w:t>o comportamento/conjuntura do mercado, quando se apresentar</w:t>
      </w:r>
      <w:r w:rsidR="00C8047F" w:rsidRPr="008B02D4">
        <w:rPr>
          <w:rFonts w:asciiTheme="minorHAnsi" w:hAnsiTheme="minorHAnsi" w:cstheme="minorHAnsi"/>
          <w:sz w:val="24"/>
          <w:szCs w:val="24"/>
        </w:rPr>
        <w:t xml:space="preserve"> o interesse da preservação dos </w:t>
      </w:r>
      <w:r w:rsidRPr="008B02D4">
        <w:rPr>
          <w:rFonts w:asciiTheme="minorHAnsi" w:hAnsiTheme="minorHAnsi" w:cstheme="minorHAnsi"/>
          <w:sz w:val="24"/>
          <w:szCs w:val="24"/>
        </w:rPr>
        <w:t>ativos financeiros e/ou com vistas à adequação à nov</w:t>
      </w:r>
      <w:r w:rsidR="00C8047F" w:rsidRPr="008B02D4">
        <w:rPr>
          <w:rFonts w:asciiTheme="minorHAnsi" w:hAnsiTheme="minorHAnsi" w:cstheme="minorHAnsi"/>
          <w:sz w:val="24"/>
          <w:szCs w:val="24"/>
        </w:rPr>
        <w:t>a legislação.</w:t>
      </w:r>
    </w:p>
    <w:p w14:paraId="07652725" w14:textId="66929AB8" w:rsidR="009D095E" w:rsidRPr="008B02D4" w:rsidRDefault="009D095E" w:rsidP="003A39F8">
      <w:pPr>
        <w:autoSpaceDE w:val="0"/>
        <w:autoSpaceDN w:val="0"/>
        <w:adjustRightInd w:val="0"/>
        <w:spacing w:after="0" w:line="360" w:lineRule="auto"/>
        <w:ind w:right="-568" w:firstLine="851"/>
        <w:jc w:val="both"/>
        <w:rPr>
          <w:rFonts w:asciiTheme="minorHAnsi" w:hAnsiTheme="minorHAnsi" w:cstheme="minorHAnsi"/>
          <w:sz w:val="24"/>
          <w:szCs w:val="24"/>
        </w:rPr>
      </w:pPr>
      <w:r w:rsidRPr="008B02D4">
        <w:rPr>
          <w:rFonts w:asciiTheme="minorHAnsi" w:hAnsiTheme="minorHAnsi" w:cstheme="minorHAnsi"/>
          <w:sz w:val="24"/>
          <w:szCs w:val="24"/>
        </w:rPr>
        <w:t>A documentação comprobatória desta política anual de investimentos deverá permanecer à disposição dos órgãos de supervisão competentes. Igualmente,</w:t>
      </w:r>
      <w:r w:rsidR="0083438D" w:rsidRPr="008B02D4">
        <w:rPr>
          <w:rFonts w:asciiTheme="minorHAnsi" w:hAnsiTheme="minorHAnsi" w:cstheme="minorHAnsi"/>
          <w:sz w:val="24"/>
          <w:szCs w:val="24"/>
        </w:rPr>
        <w:t xml:space="preserve"> </w:t>
      </w:r>
      <w:r w:rsidRPr="008B02D4">
        <w:rPr>
          <w:rFonts w:asciiTheme="minorHAnsi" w:hAnsiTheme="minorHAnsi" w:cstheme="minorHAnsi"/>
          <w:sz w:val="24"/>
          <w:szCs w:val="24"/>
        </w:rPr>
        <w:t>estes respectivos documentos</w:t>
      </w:r>
      <w:r w:rsidR="0083438D" w:rsidRPr="008B02D4">
        <w:rPr>
          <w:rFonts w:asciiTheme="minorHAnsi" w:hAnsiTheme="minorHAnsi" w:cstheme="minorHAnsi"/>
          <w:sz w:val="24"/>
          <w:szCs w:val="24"/>
        </w:rPr>
        <w:t xml:space="preserve"> </w:t>
      </w:r>
      <w:r w:rsidRPr="008B02D4">
        <w:rPr>
          <w:rFonts w:asciiTheme="minorHAnsi" w:hAnsiTheme="minorHAnsi" w:cstheme="minorHAnsi"/>
          <w:sz w:val="24"/>
          <w:szCs w:val="24"/>
        </w:rPr>
        <w:t>devem ser disponibilizados aos seus segurados e pensionistas juntamente com as respectivas</w:t>
      </w:r>
      <w:r w:rsidR="0083438D" w:rsidRPr="008B02D4">
        <w:rPr>
          <w:rFonts w:asciiTheme="minorHAnsi" w:hAnsiTheme="minorHAnsi" w:cstheme="minorHAnsi"/>
          <w:sz w:val="24"/>
          <w:szCs w:val="24"/>
        </w:rPr>
        <w:t xml:space="preserve"> </w:t>
      </w:r>
      <w:r w:rsidR="00C8047F" w:rsidRPr="008B02D4">
        <w:rPr>
          <w:rFonts w:asciiTheme="minorHAnsi" w:hAnsiTheme="minorHAnsi" w:cstheme="minorHAnsi"/>
          <w:sz w:val="24"/>
          <w:szCs w:val="24"/>
        </w:rPr>
        <w:t>revisões, sua publicação nos meios de divulgação e transparência não poderá ser superior a trinta dias após a data de aprovação.</w:t>
      </w:r>
    </w:p>
    <w:p w14:paraId="2146662E" w14:textId="77777777" w:rsidR="008A5D7D" w:rsidRPr="008B02D4" w:rsidRDefault="008A5D7D" w:rsidP="003A39F8">
      <w:pPr>
        <w:autoSpaceDE w:val="0"/>
        <w:autoSpaceDN w:val="0"/>
        <w:adjustRightInd w:val="0"/>
        <w:spacing w:after="0" w:line="360" w:lineRule="auto"/>
        <w:ind w:right="-568" w:firstLine="851"/>
        <w:jc w:val="both"/>
        <w:rPr>
          <w:rFonts w:asciiTheme="minorHAnsi" w:hAnsiTheme="minorHAnsi" w:cstheme="minorHAnsi"/>
          <w:sz w:val="24"/>
          <w:szCs w:val="24"/>
        </w:rPr>
      </w:pPr>
    </w:p>
    <w:p w14:paraId="39B193DE" w14:textId="68B38FE7" w:rsidR="008A5D7D" w:rsidRDefault="003C108C" w:rsidP="003A39F8">
      <w:pPr>
        <w:tabs>
          <w:tab w:val="left" w:pos="2320"/>
        </w:tabs>
        <w:ind w:right="-568" w:firstLine="851"/>
        <w:jc w:val="right"/>
        <w:rPr>
          <w:rFonts w:asciiTheme="minorHAnsi" w:hAnsiTheme="minorHAnsi" w:cstheme="minorHAnsi"/>
          <w:sz w:val="24"/>
          <w:szCs w:val="24"/>
          <w:lang w:eastAsia="pt-BR"/>
        </w:rPr>
      </w:pPr>
      <w:r>
        <w:rPr>
          <w:rFonts w:asciiTheme="minorHAnsi" w:hAnsiTheme="minorHAnsi" w:cstheme="minorHAnsi"/>
          <w:sz w:val="24"/>
          <w:szCs w:val="24"/>
          <w:lang w:eastAsia="pt-BR"/>
        </w:rPr>
        <w:t>Governador Jorge Teixeira</w:t>
      </w:r>
      <w:r w:rsidR="00701C97" w:rsidRPr="00701C97">
        <w:rPr>
          <w:rFonts w:asciiTheme="minorHAnsi" w:hAnsiTheme="minorHAnsi" w:cstheme="minorHAnsi"/>
          <w:sz w:val="24"/>
          <w:szCs w:val="24"/>
          <w:lang w:eastAsia="pt-BR"/>
        </w:rPr>
        <w:t xml:space="preserve"> </w:t>
      </w:r>
      <w:r w:rsidR="008A5D7D" w:rsidRPr="00701C97">
        <w:rPr>
          <w:rFonts w:asciiTheme="minorHAnsi" w:hAnsiTheme="minorHAnsi" w:cstheme="minorHAnsi"/>
          <w:sz w:val="24"/>
          <w:szCs w:val="24"/>
          <w:lang w:eastAsia="pt-BR"/>
        </w:rPr>
        <w:t xml:space="preserve">-RO, </w:t>
      </w:r>
      <w:r w:rsidRPr="003C108C">
        <w:rPr>
          <w:rFonts w:asciiTheme="minorHAnsi" w:hAnsiTheme="minorHAnsi" w:cstheme="minorHAnsi"/>
          <w:sz w:val="24"/>
          <w:szCs w:val="24"/>
          <w:lang w:eastAsia="pt-BR"/>
        </w:rPr>
        <w:t>19</w:t>
      </w:r>
      <w:r w:rsidR="008A5D7D" w:rsidRPr="003C108C">
        <w:rPr>
          <w:rFonts w:asciiTheme="minorHAnsi" w:hAnsiTheme="minorHAnsi" w:cstheme="minorHAnsi"/>
          <w:sz w:val="24"/>
          <w:szCs w:val="24"/>
          <w:lang w:eastAsia="pt-BR"/>
        </w:rPr>
        <w:t xml:space="preserve"> de </w:t>
      </w:r>
      <w:r w:rsidRPr="003C108C">
        <w:rPr>
          <w:rFonts w:asciiTheme="minorHAnsi" w:hAnsiTheme="minorHAnsi" w:cstheme="minorHAnsi"/>
          <w:sz w:val="24"/>
          <w:szCs w:val="24"/>
          <w:lang w:eastAsia="pt-BR"/>
        </w:rPr>
        <w:t xml:space="preserve">outubro </w:t>
      </w:r>
      <w:r w:rsidR="008A5D7D" w:rsidRPr="003C108C">
        <w:rPr>
          <w:rFonts w:asciiTheme="minorHAnsi" w:hAnsiTheme="minorHAnsi" w:cstheme="minorHAnsi"/>
          <w:sz w:val="24"/>
          <w:szCs w:val="24"/>
          <w:lang w:eastAsia="pt-BR"/>
        </w:rPr>
        <w:t>de 20</w:t>
      </w:r>
      <w:r w:rsidR="00694580" w:rsidRPr="003C108C">
        <w:rPr>
          <w:rFonts w:asciiTheme="minorHAnsi" w:hAnsiTheme="minorHAnsi" w:cstheme="minorHAnsi"/>
          <w:sz w:val="24"/>
          <w:szCs w:val="24"/>
          <w:lang w:eastAsia="pt-BR"/>
        </w:rPr>
        <w:t>2</w:t>
      </w:r>
      <w:r w:rsidR="001A6A51" w:rsidRPr="003C108C">
        <w:rPr>
          <w:rFonts w:asciiTheme="minorHAnsi" w:hAnsiTheme="minorHAnsi" w:cstheme="minorHAnsi"/>
          <w:sz w:val="24"/>
          <w:szCs w:val="24"/>
          <w:lang w:eastAsia="pt-BR"/>
        </w:rPr>
        <w:t>3</w:t>
      </w:r>
    </w:p>
    <w:p w14:paraId="77F255D0" w14:textId="77777777" w:rsidR="005042C1" w:rsidRDefault="005042C1" w:rsidP="00652192">
      <w:pPr>
        <w:tabs>
          <w:tab w:val="left" w:pos="2320"/>
        </w:tabs>
        <w:ind w:right="-1"/>
        <w:rPr>
          <w:rFonts w:asciiTheme="minorHAnsi" w:hAnsiTheme="minorHAnsi" w:cstheme="minorHAnsi"/>
          <w:color w:val="FF0000"/>
          <w:sz w:val="24"/>
          <w:szCs w:val="24"/>
          <w:lang w:eastAsia="pt-BR"/>
        </w:rPr>
      </w:pPr>
    </w:p>
    <w:p w14:paraId="07EE605A" w14:textId="77777777" w:rsidR="005042C1" w:rsidRDefault="005042C1" w:rsidP="00652192">
      <w:pPr>
        <w:tabs>
          <w:tab w:val="left" w:pos="2320"/>
        </w:tabs>
        <w:ind w:right="-1"/>
        <w:rPr>
          <w:rFonts w:asciiTheme="minorHAnsi" w:hAnsiTheme="minorHAnsi" w:cstheme="minorHAnsi"/>
          <w:color w:val="FF0000"/>
          <w:sz w:val="24"/>
          <w:szCs w:val="24"/>
          <w:lang w:eastAsia="pt-BR"/>
        </w:rPr>
      </w:pPr>
    </w:p>
    <w:p w14:paraId="739EB9E1" w14:textId="26D30187" w:rsidR="003C108C" w:rsidRPr="005042C1" w:rsidRDefault="003C108C" w:rsidP="00652192">
      <w:pPr>
        <w:tabs>
          <w:tab w:val="left" w:pos="2320"/>
        </w:tabs>
        <w:ind w:right="-1"/>
        <w:rPr>
          <w:rFonts w:asciiTheme="minorHAnsi" w:hAnsiTheme="minorHAnsi" w:cstheme="minorHAnsi"/>
          <w:sz w:val="24"/>
          <w:szCs w:val="24"/>
          <w:lang w:eastAsia="pt-BR"/>
        </w:rPr>
      </w:pPr>
      <w:r w:rsidRPr="005042C1">
        <w:rPr>
          <w:rFonts w:asciiTheme="minorHAnsi" w:hAnsiTheme="minorHAnsi" w:cstheme="minorHAnsi"/>
          <w:sz w:val="24"/>
          <w:szCs w:val="24"/>
          <w:lang w:eastAsia="pt-BR"/>
        </w:rPr>
        <w:t>EDIVALDO DE MENEZES – Membro do Comitê _________________________________</w:t>
      </w:r>
    </w:p>
    <w:p w14:paraId="3F19B427" w14:textId="7FB5B193" w:rsidR="003C108C" w:rsidRPr="005042C1" w:rsidRDefault="003C108C" w:rsidP="00652192">
      <w:pPr>
        <w:tabs>
          <w:tab w:val="left" w:pos="2320"/>
        </w:tabs>
        <w:ind w:right="-1"/>
        <w:rPr>
          <w:rFonts w:asciiTheme="minorHAnsi" w:hAnsiTheme="minorHAnsi" w:cstheme="minorHAnsi"/>
          <w:sz w:val="24"/>
          <w:szCs w:val="24"/>
          <w:lang w:eastAsia="pt-BR"/>
        </w:rPr>
      </w:pPr>
      <w:r w:rsidRPr="005042C1">
        <w:rPr>
          <w:rFonts w:asciiTheme="minorHAnsi" w:hAnsiTheme="minorHAnsi" w:cstheme="minorHAnsi"/>
          <w:sz w:val="24"/>
          <w:szCs w:val="24"/>
          <w:lang w:eastAsia="pt-BR"/>
        </w:rPr>
        <w:t>HOZANA RICARDINA REIS LEITE – Membro do Comitê ___________________________</w:t>
      </w:r>
    </w:p>
    <w:p w14:paraId="0246D56F" w14:textId="0BD69114" w:rsidR="003C108C" w:rsidRPr="005042C1" w:rsidRDefault="00652192" w:rsidP="00652192">
      <w:pPr>
        <w:tabs>
          <w:tab w:val="left" w:pos="2320"/>
        </w:tabs>
        <w:ind w:right="-1"/>
        <w:rPr>
          <w:rFonts w:asciiTheme="minorHAnsi" w:hAnsiTheme="minorHAnsi" w:cstheme="minorHAnsi"/>
          <w:sz w:val="24"/>
          <w:szCs w:val="24"/>
          <w:lang w:eastAsia="pt-BR"/>
        </w:rPr>
      </w:pPr>
      <w:r w:rsidRPr="005042C1">
        <w:rPr>
          <w:rFonts w:asciiTheme="minorHAnsi" w:hAnsiTheme="minorHAnsi" w:cstheme="minorHAnsi"/>
          <w:sz w:val="24"/>
          <w:szCs w:val="24"/>
          <w:lang w:eastAsia="pt-BR"/>
        </w:rPr>
        <w:t>JANIEL PINHEIRO DAMASCENO – Membro do Comitê ___________________________</w:t>
      </w:r>
    </w:p>
    <w:p w14:paraId="580C59DC" w14:textId="77777777" w:rsidR="005042C1" w:rsidRDefault="005042C1" w:rsidP="00652192">
      <w:pPr>
        <w:tabs>
          <w:tab w:val="left" w:pos="2320"/>
        </w:tabs>
        <w:ind w:right="-1"/>
        <w:rPr>
          <w:rFonts w:asciiTheme="minorHAnsi" w:hAnsiTheme="minorHAnsi" w:cstheme="minorHAnsi"/>
          <w:sz w:val="24"/>
          <w:szCs w:val="24"/>
          <w:lang w:eastAsia="pt-BR"/>
        </w:rPr>
      </w:pPr>
    </w:p>
    <w:p w14:paraId="6080ED93" w14:textId="3852B591" w:rsidR="00652192" w:rsidRPr="005042C1" w:rsidRDefault="00652192" w:rsidP="00652192">
      <w:pPr>
        <w:tabs>
          <w:tab w:val="left" w:pos="2320"/>
        </w:tabs>
        <w:ind w:right="-1"/>
        <w:rPr>
          <w:rFonts w:asciiTheme="minorHAnsi" w:hAnsiTheme="minorHAnsi" w:cstheme="minorHAnsi"/>
          <w:sz w:val="24"/>
          <w:szCs w:val="24"/>
          <w:lang w:eastAsia="pt-BR"/>
        </w:rPr>
      </w:pPr>
      <w:r w:rsidRPr="005042C1">
        <w:rPr>
          <w:rFonts w:asciiTheme="minorHAnsi" w:hAnsiTheme="minorHAnsi" w:cstheme="minorHAnsi"/>
          <w:sz w:val="24"/>
          <w:szCs w:val="24"/>
          <w:lang w:eastAsia="pt-BR"/>
        </w:rPr>
        <w:t>ELIETH NOGUEIRA DE O. MORAIS – Membro do CODEL _________________________</w:t>
      </w:r>
    </w:p>
    <w:p w14:paraId="6C0655CC" w14:textId="073CC803" w:rsidR="00652192" w:rsidRPr="005042C1" w:rsidRDefault="00652192" w:rsidP="00652192">
      <w:pPr>
        <w:tabs>
          <w:tab w:val="left" w:pos="2320"/>
        </w:tabs>
        <w:ind w:right="-1"/>
        <w:rPr>
          <w:rFonts w:asciiTheme="minorHAnsi" w:hAnsiTheme="minorHAnsi" w:cstheme="minorHAnsi"/>
          <w:sz w:val="24"/>
          <w:szCs w:val="24"/>
          <w:lang w:eastAsia="pt-BR"/>
        </w:rPr>
      </w:pPr>
      <w:r w:rsidRPr="005042C1">
        <w:rPr>
          <w:rFonts w:asciiTheme="minorHAnsi" w:hAnsiTheme="minorHAnsi" w:cstheme="minorHAnsi"/>
          <w:sz w:val="24"/>
          <w:szCs w:val="24"/>
          <w:lang w:eastAsia="pt-BR"/>
        </w:rPr>
        <w:t>FRANCISNALDO BERZERRA FILHO – Membro do CODEL _________________________</w:t>
      </w:r>
    </w:p>
    <w:p w14:paraId="51FE47B7" w14:textId="1D76158C" w:rsidR="00652192" w:rsidRPr="005042C1" w:rsidRDefault="00652192" w:rsidP="00652192">
      <w:pPr>
        <w:tabs>
          <w:tab w:val="left" w:pos="2320"/>
        </w:tabs>
        <w:ind w:right="-1"/>
        <w:rPr>
          <w:rFonts w:asciiTheme="minorHAnsi" w:hAnsiTheme="minorHAnsi" w:cstheme="minorHAnsi"/>
          <w:sz w:val="24"/>
          <w:szCs w:val="24"/>
          <w:lang w:eastAsia="pt-BR"/>
        </w:rPr>
      </w:pPr>
      <w:r w:rsidRPr="005042C1">
        <w:rPr>
          <w:rFonts w:asciiTheme="minorHAnsi" w:hAnsiTheme="minorHAnsi" w:cstheme="minorHAnsi"/>
          <w:sz w:val="24"/>
          <w:szCs w:val="24"/>
          <w:lang w:eastAsia="pt-BR"/>
        </w:rPr>
        <w:t xml:space="preserve">JANIEL PINHEIRO DAMASCENO – Membro do </w:t>
      </w:r>
      <w:r w:rsidRPr="005042C1">
        <w:rPr>
          <w:rFonts w:asciiTheme="minorHAnsi" w:hAnsiTheme="minorHAnsi" w:cstheme="minorHAnsi"/>
          <w:sz w:val="24"/>
          <w:szCs w:val="24"/>
          <w:lang w:eastAsia="pt-BR"/>
        </w:rPr>
        <w:t>CODEL</w:t>
      </w:r>
      <w:r w:rsidRPr="005042C1">
        <w:rPr>
          <w:rFonts w:asciiTheme="minorHAnsi" w:hAnsiTheme="minorHAnsi" w:cstheme="minorHAnsi"/>
          <w:sz w:val="24"/>
          <w:szCs w:val="24"/>
          <w:lang w:eastAsia="pt-BR"/>
        </w:rPr>
        <w:t xml:space="preserve"> ___________________________</w:t>
      </w:r>
    </w:p>
    <w:p w14:paraId="3F9537EF" w14:textId="56256D28" w:rsidR="00652192" w:rsidRPr="005042C1" w:rsidRDefault="00652192" w:rsidP="00652192">
      <w:pPr>
        <w:tabs>
          <w:tab w:val="left" w:pos="2320"/>
        </w:tabs>
        <w:ind w:right="-1"/>
        <w:rPr>
          <w:rFonts w:asciiTheme="minorHAnsi" w:hAnsiTheme="minorHAnsi" w:cstheme="minorHAnsi"/>
          <w:sz w:val="24"/>
          <w:szCs w:val="24"/>
          <w:lang w:eastAsia="pt-BR"/>
        </w:rPr>
      </w:pPr>
      <w:r w:rsidRPr="005042C1">
        <w:rPr>
          <w:rFonts w:asciiTheme="minorHAnsi" w:hAnsiTheme="minorHAnsi" w:cstheme="minorHAnsi"/>
          <w:sz w:val="24"/>
          <w:szCs w:val="24"/>
          <w:lang w:eastAsia="pt-BR"/>
        </w:rPr>
        <w:t>UBIRAJARA SOARES SILVA – Membro do CODEL _______________________________</w:t>
      </w:r>
    </w:p>
    <w:p w14:paraId="229D781E" w14:textId="51350B57" w:rsidR="00652192" w:rsidRPr="005042C1" w:rsidRDefault="00652192" w:rsidP="005042C1">
      <w:pPr>
        <w:tabs>
          <w:tab w:val="left" w:pos="2320"/>
        </w:tabs>
        <w:ind w:right="-1"/>
        <w:rPr>
          <w:rFonts w:asciiTheme="minorHAnsi" w:hAnsiTheme="minorHAnsi" w:cstheme="minorHAnsi"/>
          <w:sz w:val="24"/>
          <w:szCs w:val="24"/>
          <w:lang w:eastAsia="pt-BR"/>
        </w:rPr>
      </w:pPr>
      <w:r w:rsidRPr="005042C1">
        <w:rPr>
          <w:rFonts w:asciiTheme="minorHAnsi" w:hAnsiTheme="minorHAnsi" w:cstheme="minorHAnsi"/>
          <w:sz w:val="24"/>
          <w:szCs w:val="24"/>
          <w:lang w:eastAsia="pt-BR"/>
        </w:rPr>
        <w:t>ZENI PINTO ANTUNES – Membro do CODEL __________________________________</w:t>
      </w:r>
    </w:p>
    <w:p w14:paraId="4DE61D66" w14:textId="1002AD2C" w:rsidR="00652192" w:rsidRPr="005042C1" w:rsidRDefault="00652192" w:rsidP="003C108C">
      <w:pPr>
        <w:tabs>
          <w:tab w:val="left" w:pos="2320"/>
        </w:tabs>
        <w:ind w:right="-568"/>
        <w:rPr>
          <w:rFonts w:asciiTheme="minorHAnsi" w:hAnsiTheme="minorHAnsi" w:cstheme="minorHAnsi"/>
          <w:sz w:val="24"/>
          <w:szCs w:val="24"/>
          <w:lang w:eastAsia="pt-BR"/>
        </w:rPr>
      </w:pPr>
    </w:p>
    <w:p w14:paraId="51BA1FAA" w14:textId="3D40306B" w:rsidR="00652192" w:rsidRPr="005042C1" w:rsidRDefault="00652192" w:rsidP="005042C1">
      <w:pPr>
        <w:tabs>
          <w:tab w:val="left" w:pos="2320"/>
        </w:tabs>
        <w:ind w:right="-1"/>
        <w:rPr>
          <w:rFonts w:asciiTheme="minorHAnsi" w:hAnsiTheme="minorHAnsi" w:cstheme="minorHAnsi"/>
          <w:sz w:val="24"/>
          <w:szCs w:val="24"/>
          <w:lang w:eastAsia="pt-BR"/>
        </w:rPr>
      </w:pPr>
      <w:r w:rsidRPr="005042C1">
        <w:rPr>
          <w:rFonts w:asciiTheme="minorHAnsi" w:hAnsiTheme="minorHAnsi" w:cstheme="minorHAnsi"/>
          <w:sz w:val="24"/>
          <w:szCs w:val="24"/>
          <w:lang w:eastAsia="pt-BR"/>
        </w:rPr>
        <w:t>EDIVALDO DE MENEZES – Presidente do GJTPREVI ____________________________</w:t>
      </w:r>
    </w:p>
    <w:p w14:paraId="628E4705" w14:textId="074775F8" w:rsidR="005042C1" w:rsidRPr="005042C1" w:rsidRDefault="005042C1" w:rsidP="005042C1">
      <w:pPr>
        <w:tabs>
          <w:tab w:val="left" w:pos="2320"/>
        </w:tabs>
        <w:ind w:right="-1"/>
        <w:rPr>
          <w:rFonts w:asciiTheme="minorHAnsi" w:hAnsiTheme="minorHAnsi" w:cstheme="minorHAnsi"/>
          <w:sz w:val="24"/>
          <w:szCs w:val="24"/>
          <w:lang w:eastAsia="pt-BR"/>
        </w:rPr>
      </w:pPr>
    </w:p>
    <w:p w14:paraId="5B8554D4" w14:textId="36080755" w:rsidR="005042C1" w:rsidRPr="005042C1" w:rsidRDefault="005042C1" w:rsidP="005042C1">
      <w:pPr>
        <w:tabs>
          <w:tab w:val="left" w:pos="2320"/>
        </w:tabs>
        <w:ind w:right="-1"/>
        <w:rPr>
          <w:rFonts w:asciiTheme="minorHAnsi" w:hAnsiTheme="minorHAnsi" w:cstheme="minorHAnsi"/>
          <w:sz w:val="24"/>
          <w:szCs w:val="24"/>
          <w:lang w:eastAsia="pt-BR"/>
        </w:rPr>
      </w:pPr>
      <w:r w:rsidRPr="005042C1">
        <w:rPr>
          <w:rFonts w:asciiTheme="minorHAnsi" w:hAnsiTheme="minorHAnsi" w:cstheme="minorHAnsi"/>
          <w:sz w:val="24"/>
          <w:szCs w:val="24"/>
          <w:lang w:eastAsia="pt-BR"/>
        </w:rPr>
        <w:t>EDIVALDO DE MENEZES – Gestor de Recursos _______________________________</w:t>
      </w:r>
    </w:p>
    <w:p w14:paraId="4562C34F" w14:textId="4EBDE938" w:rsidR="00311AE3" w:rsidRPr="005042C1" w:rsidRDefault="00311AE3" w:rsidP="005042C1">
      <w:pPr>
        <w:tabs>
          <w:tab w:val="left" w:pos="2320"/>
        </w:tabs>
        <w:ind w:right="-568"/>
        <w:rPr>
          <w:rFonts w:asciiTheme="minorHAnsi" w:hAnsiTheme="minorHAnsi" w:cstheme="minorHAnsi"/>
          <w:sz w:val="24"/>
          <w:szCs w:val="24"/>
        </w:rPr>
      </w:pPr>
    </w:p>
    <w:sectPr w:rsidR="00311AE3" w:rsidRPr="005042C1" w:rsidSect="003D2BF7">
      <w:headerReference w:type="even" r:id="rId17"/>
      <w:headerReference w:type="default" r:id="rId18"/>
      <w:footerReference w:type="even" r:id="rId19"/>
      <w:footerReference w:type="default" r:id="rId20"/>
      <w:headerReference w:type="first" r:id="rId21"/>
      <w:footerReference w:type="first" r:id="rId22"/>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4409" w14:textId="77777777" w:rsidR="00646678" w:rsidRDefault="00646678" w:rsidP="00DD75E3">
      <w:pPr>
        <w:spacing w:after="0" w:line="240" w:lineRule="auto"/>
      </w:pPr>
      <w:r>
        <w:separator/>
      </w:r>
    </w:p>
  </w:endnote>
  <w:endnote w:type="continuationSeparator" w:id="0">
    <w:p w14:paraId="228E9299" w14:textId="77777777" w:rsidR="00646678" w:rsidRDefault="00646678" w:rsidP="00DD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9395"/>
      <w:docPartObj>
        <w:docPartGallery w:val="Page Numbers (Bottom of Page)"/>
        <w:docPartUnique/>
      </w:docPartObj>
    </w:sdtPr>
    <w:sdtEndPr/>
    <w:sdtContent>
      <w:p w14:paraId="7624BA2F" w14:textId="529F7F97" w:rsidR="003B5447" w:rsidRDefault="003B5447" w:rsidP="009466A8">
        <w:pPr>
          <w:pStyle w:val="Cabealho"/>
          <w:tabs>
            <w:tab w:val="clear" w:pos="4252"/>
            <w:tab w:val="clear" w:pos="8504"/>
            <w:tab w:val="left" w:pos="7485"/>
          </w:tabs>
          <w:spacing w:after="0" w:line="240" w:lineRule="auto"/>
          <w:ind w:right="360"/>
          <w:jc w:val="center"/>
        </w:pPr>
      </w:p>
      <w:p w14:paraId="0176F193" w14:textId="77777777" w:rsidR="00A357C9" w:rsidRDefault="00A357C9" w:rsidP="00A357C9">
        <w:pPr>
          <w:pStyle w:val="SemEspaamento"/>
          <w:jc w:val="center"/>
          <w:rPr>
            <w:rFonts w:ascii="Informal Roman" w:hAnsi="Informal Roman"/>
            <w:sz w:val="18"/>
            <w:szCs w:val="18"/>
          </w:rPr>
        </w:pPr>
        <w:r w:rsidRPr="008945D6">
          <w:rPr>
            <w:rFonts w:ascii="Informal Roman" w:hAnsi="Informal Roman"/>
            <w:sz w:val="18"/>
            <w:szCs w:val="18"/>
          </w:rPr>
          <w:t>Av. Pedras Brancas nº 939 – Centro – CEP 76.898-000</w:t>
        </w:r>
        <w:r>
          <w:rPr>
            <w:rFonts w:ascii="Informal Roman" w:hAnsi="Informal Roman"/>
            <w:sz w:val="18"/>
            <w:szCs w:val="18"/>
          </w:rPr>
          <w:t xml:space="preserve"> – Governador Jorge Teixeira – RO</w:t>
        </w:r>
      </w:p>
      <w:p w14:paraId="4B1E38AB" w14:textId="77777777" w:rsidR="00A357C9" w:rsidRPr="00C02ED2" w:rsidRDefault="00A357C9" w:rsidP="00A357C9">
        <w:pPr>
          <w:pStyle w:val="SemEspaamento"/>
          <w:jc w:val="center"/>
          <w:rPr>
            <w:rFonts w:ascii="Arabic Typesetting" w:hAnsi="Arabic Typesetting" w:cs="Arabic Typesetting"/>
            <w:sz w:val="24"/>
            <w:szCs w:val="24"/>
          </w:rPr>
        </w:pPr>
        <w:r w:rsidRPr="00C02ED2">
          <w:rPr>
            <w:rFonts w:ascii="Arabic Typesetting" w:hAnsi="Arabic Typesetting" w:cs="Arabic Typesetting"/>
            <w:sz w:val="24"/>
            <w:szCs w:val="24"/>
          </w:rPr>
          <w:t xml:space="preserve">Site: </w:t>
        </w:r>
        <w:hyperlink r:id="rId1" w:history="1">
          <w:r w:rsidRPr="00C02ED2">
            <w:rPr>
              <w:rStyle w:val="Hyperlink"/>
              <w:rFonts w:ascii="Arabic Typesetting" w:hAnsi="Arabic Typesetting" w:cs="Arabic Typesetting"/>
              <w:sz w:val="24"/>
              <w:szCs w:val="24"/>
            </w:rPr>
            <w:t>www.gjtprevi.ro.gov.br</w:t>
          </w:r>
        </w:hyperlink>
        <w:r w:rsidRPr="00C02ED2">
          <w:rPr>
            <w:rFonts w:ascii="Arabic Typesetting" w:hAnsi="Arabic Typesetting" w:cs="Arabic Typesetting"/>
            <w:sz w:val="24"/>
            <w:szCs w:val="24"/>
          </w:rPr>
          <w:t xml:space="preserve"> </w:t>
        </w:r>
      </w:p>
      <w:p w14:paraId="4BEEAAE2" w14:textId="6170CEAA" w:rsidR="00A357C9" w:rsidRPr="00F15844" w:rsidRDefault="00A357C9" w:rsidP="00A357C9">
        <w:pPr>
          <w:pStyle w:val="Cabealho"/>
          <w:tabs>
            <w:tab w:val="clear" w:pos="4252"/>
            <w:tab w:val="clear" w:pos="8504"/>
            <w:tab w:val="left" w:pos="7485"/>
          </w:tabs>
          <w:spacing w:after="0" w:line="240" w:lineRule="auto"/>
          <w:ind w:right="360"/>
          <w:jc w:val="center"/>
          <w:rPr>
            <w:sz w:val="16"/>
            <w:szCs w:val="16"/>
          </w:rPr>
        </w:pPr>
        <w:r>
          <w:rPr>
            <w:rFonts w:ascii="Arabic Typesetting" w:hAnsi="Arabic Typesetting" w:cs="Arabic Typesetting"/>
          </w:rPr>
          <w:t>Fone: 69 3524-1278</w:t>
        </w:r>
        <w:r w:rsidRPr="008945D6">
          <w:rPr>
            <w:rFonts w:ascii="Arabic Typesetting" w:hAnsi="Arabic Typesetting" w:cs="Arabic Typesetting"/>
          </w:rPr>
          <w:t xml:space="preserve"> – </w:t>
        </w:r>
        <w:hyperlink r:id="rId2" w:history="1">
          <w:r w:rsidRPr="008945D6">
            <w:rPr>
              <w:rStyle w:val="Hyperlink"/>
              <w:rFonts w:ascii="Arabic Typesetting" w:hAnsi="Arabic Typesetting" w:cs="Arabic Typesetting"/>
            </w:rPr>
            <w:t>institutoprevidenciagjtprevi@gmail.com</w:t>
          </w:r>
        </w:hyperlink>
      </w:p>
      <w:p w14:paraId="03D13BD0" w14:textId="66522C3F" w:rsidR="003B5447" w:rsidRDefault="003B5447">
        <w:pPr>
          <w:pStyle w:val="Rodap"/>
          <w:jc w:val="right"/>
        </w:pPr>
        <w:r>
          <w:fldChar w:fldCharType="begin"/>
        </w:r>
        <w:r>
          <w:instrText>PAGE   \* MERGEFORMAT</w:instrText>
        </w:r>
        <w:r>
          <w:fldChar w:fldCharType="separate"/>
        </w:r>
        <w:r>
          <w:rPr>
            <w:noProof/>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8C40" w14:textId="77777777" w:rsidR="003B5447" w:rsidRDefault="003B5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12251"/>
      <w:docPartObj>
        <w:docPartGallery w:val="Page Numbers (Bottom of Page)"/>
        <w:docPartUnique/>
      </w:docPartObj>
    </w:sdtPr>
    <w:sdtEndPr/>
    <w:sdtContent>
      <w:p w14:paraId="08908AB7" w14:textId="77777777" w:rsidR="001857BF" w:rsidRDefault="001857BF" w:rsidP="001857BF">
        <w:pPr>
          <w:pStyle w:val="SemEspaamento"/>
          <w:jc w:val="center"/>
          <w:rPr>
            <w:rFonts w:ascii="Informal Roman" w:hAnsi="Informal Roman"/>
            <w:sz w:val="18"/>
            <w:szCs w:val="18"/>
          </w:rPr>
        </w:pPr>
        <w:r w:rsidRPr="008945D6">
          <w:rPr>
            <w:rFonts w:ascii="Informal Roman" w:hAnsi="Informal Roman"/>
            <w:sz w:val="18"/>
            <w:szCs w:val="18"/>
          </w:rPr>
          <w:t>Av. Pedras Brancas nº 939 – Centro – CEP 76.898-000</w:t>
        </w:r>
        <w:r>
          <w:rPr>
            <w:rFonts w:ascii="Informal Roman" w:hAnsi="Informal Roman"/>
            <w:sz w:val="18"/>
            <w:szCs w:val="18"/>
          </w:rPr>
          <w:t xml:space="preserve"> – Governador Jorge Teixeira – RO</w:t>
        </w:r>
      </w:p>
      <w:p w14:paraId="2C2643D5" w14:textId="77777777" w:rsidR="001857BF" w:rsidRPr="00C02ED2" w:rsidRDefault="001857BF" w:rsidP="001857BF">
        <w:pPr>
          <w:pStyle w:val="SemEspaamento"/>
          <w:jc w:val="center"/>
          <w:rPr>
            <w:rFonts w:ascii="Arabic Typesetting" w:hAnsi="Arabic Typesetting" w:cs="Arabic Typesetting"/>
            <w:sz w:val="24"/>
            <w:szCs w:val="24"/>
          </w:rPr>
        </w:pPr>
        <w:r w:rsidRPr="00C02ED2">
          <w:rPr>
            <w:rFonts w:ascii="Arabic Typesetting" w:hAnsi="Arabic Typesetting" w:cs="Arabic Typesetting"/>
            <w:sz w:val="24"/>
            <w:szCs w:val="24"/>
          </w:rPr>
          <w:t xml:space="preserve">Site: </w:t>
        </w:r>
        <w:hyperlink r:id="rId1" w:history="1">
          <w:r w:rsidRPr="00C02ED2">
            <w:rPr>
              <w:rStyle w:val="Hyperlink"/>
              <w:rFonts w:ascii="Arabic Typesetting" w:hAnsi="Arabic Typesetting" w:cs="Arabic Typesetting"/>
              <w:sz w:val="24"/>
              <w:szCs w:val="24"/>
            </w:rPr>
            <w:t>www.gjtprevi.ro.gov.br</w:t>
          </w:r>
        </w:hyperlink>
        <w:r w:rsidRPr="00C02ED2">
          <w:rPr>
            <w:rFonts w:ascii="Arabic Typesetting" w:hAnsi="Arabic Typesetting" w:cs="Arabic Typesetting"/>
            <w:sz w:val="24"/>
            <w:szCs w:val="24"/>
          </w:rPr>
          <w:t xml:space="preserve"> </w:t>
        </w:r>
      </w:p>
      <w:p w14:paraId="53050271" w14:textId="77777777" w:rsidR="001857BF" w:rsidRPr="00F15844" w:rsidRDefault="001857BF" w:rsidP="001857BF">
        <w:pPr>
          <w:pStyle w:val="Cabealho"/>
          <w:tabs>
            <w:tab w:val="clear" w:pos="4252"/>
            <w:tab w:val="clear" w:pos="8504"/>
            <w:tab w:val="left" w:pos="7485"/>
          </w:tabs>
          <w:spacing w:after="0" w:line="240" w:lineRule="auto"/>
          <w:ind w:right="360"/>
          <w:jc w:val="center"/>
          <w:rPr>
            <w:sz w:val="16"/>
            <w:szCs w:val="16"/>
          </w:rPr>
        </w:pPr>
        <w:r>
          <w:rPr>
            <w:rFonts w:ascii="Arabic Typesetting" w:hAnsi="Arabic Typesetting" w:cs="Arabic Typesetting"/>
          </w:rPr>
          <w:t>Fone: 69 3524-1278</w:t>
        </w:r>
        <w:r w:rsidRPr="008945D6">
          <w:rPr>
            <w:rFonts w:ascii="Arabic Typesetting" w:hAnsi="Arabic Typesetting" w:cs="Arabic Typesetting"/>
          </w:rPr>
          <w:t xml:space="preserve"> – </w:t>
        </w:r>
        <w:hyperlink r:id="rId2" w:history="1">
          <w:r w:rsidRPr="008945D6">
            <w:rPr>
              <w:rStyle w:val="Hyperlink"/>
              <w:rFonts w:ascii="Arabic Typesetting" w:hAnsi="Arabic Typesetting" w:cs="Arabic Typesetting"/>
            </w:rPr>
            <w:t>institutoprevidenciagjtprevi@gmail.com</w:t>
          </w:r>
        </w:hyperlink>
      </w:p>
      <w:p w14:paraId="61E57649" w14:textId="023B8E82" w:rsidR="001857BF" w:rsidRDefault="001857BF">
        <w:pPr>
          <w:pStyle w:val="Rodap"/>
          <w:jc w:val="right"/>
        </w:pPr>
      </w:p>
      <w:p w14:paraId="2DA2B9B2" w14:textId="5711D356" w:rsidR="006032C4" w:rsidRDefault="006032C4">
        <w:pPr>
          <w:pStyle w:val="Rodap"/>
          <w:jc w:val="right"/>
        </w:pPr>
        <w:r>
          <w:fldChar w:fldCharType="begin"/>
        </w:r>
        <w:r>
          <w:instrText>PAGE   \* MERGEFORMAT</w:instrText>
        </w:r>
        <w:r>
          <w:fldChar w:fldCharType="separate"/>
        </w:r>
        <w:r>
          <w:t>2</w:t>
        </w:r>
        <w:r>
          <w:fldChar w:fldCharType="end"/>
        </w:r>
      </w:p>
    </w:sdtContent>
  </w:sdt>
  <w:p w14:paraId="130074C4" w14:textId="7B50701E" w:rsidR="003B5447" w:rsidRPr="009466A8" w:rsidRDefault="003B5447" w:rsidP="009466A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514B" w14:textId="77777777" w:rsidR="003B5447" w:rsidRDefault="003B54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2E32" w14:textId="77777777" w:rsidR="00646678" w:rsidRDefault="00646678" w:rsidP="00DD75E3">
      <w:pPr>
        <w:spacing w:after="0" w:line="240" w:lineRule="auto"/>
      </w:pPr>
      <w:r>
        <w:separator/>
      </w:r>
    </w:p>
  </w:footnote>
  <w:footnote w:type="continuationSeparator" w:id="0">
    <w:p w14:paraId="6CC9FE92" w14:textId="77777777" w:rsidR="00646678" w:rsidRDefault="00646678" w:rsidP="00DD7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8EBC" w14:textId="037A92FF" w:rsidR="00A357C9" w:rsidRDefault="001857BF" w:rsidP="00A357C9">
    <w:pPr>
      <w:pStyle w:val="SemEspaamento"/>
      <w:jc w:val="center"/>
    </w:pPr>
    <w:r>
      <w:rPr>
        <w:noProof/>
        <w:lang w:eastAsia="pt-BR"/>
      </w:rPr>
      <w:drawing>
        <wp:anchor distT="0" distB="0" distL="114935" distR="114935" simplePos="0" relativeHeight="251660288" behindDoc="1" locked="0" layoutInCell="1" allowOverlap="1" wp14:anchorId="20FC22BB" wp14:editId="0EF25449">
          <wp:simplePos x="0" y="0"/>
          <wp:positionH relativeFrom="column">
            <wp:posOffset>4906148</wp:posOffset>
          </wp:positionH>
          <wp:positionV relativeFrom="paragraph">
            <wp:posOffset>-72390</wp:posOffset>
          </wp:positionV>
          <wp:extent cx="913765" cy="779145"/>
          <wp:effectExtent l="0" t="0" r="635" b="1905"/>
          <wp:wrapTight wrapText="bothSides">
            <wp:wrapPolygon edited="0">
              <wp:start x="0" y="0"/>
              <wp:lineTo x="0" y="21125"/>
              <wp:lineTo x="21165" y="21125"/>
              <wp:lineTo x="21165"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7791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A357C9">
      <w:rPr>
        <w:noProof/>
      </w:rPr>
      <w:drawing>
        <wp:anchor distT="0" distB="0" distL="114935" distR="114935" simplePos="0" relativeHeight="251659264" behindDoc="1" locked="0" layoutInCell="1" allowOverlap="1" wp14:anchorId="03CD16EF" wp14:editId="44FB19D8">
          <wp:simplePos x="0" y="0"/>
          <wp:positionH relativeFrom="margin">
            <wp:posOffset>17145</wp:posOffset>
          </wp:positionH>
          <wp:positionV relativeFrom="paragraph">
            <wp:posOffset>6350</wp:posOffset>
          </wp:positionV>
          <wp:extent cx="930275" cy="723265"/>
          <wp:effectExtent l="0" t="0" r="3175" b="635"/>
          <wp:wrapTight wrapText="bothSides">
            <wp:wrapPolygon edited="0">
              <wp:start x="0" y="0"/>
              <wp:lineTo x="0" y="21050"/>
              <wp:lineTo x="21231" y="21050"/>
              <wp:lineTo x="21231"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7232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A357C9">
      <w:t>GJTPREVI</w:t>
    </w:r>
  </w:p>
  <w:p w14:paraId="28672BAD" w14:textId="77777777" w:rsidR="00083040" w:rsidRDefault="00A357C9" w:rsidP="00A357C9">
    <w:pPr>
      <w:pStyle w:val="SemEspaamento"/>
      <w:jc w:val="center"/>
    </w:pPr>
    <w:r>
      <w:t xml:space="preserve">INSTITUTO DE PREVIDÊNCIA SOCIAL DOS SERVIDORES </w:t>
    </w:r>
  </w:p>
  <w:p w14:paraId="26E65E2F" w14:textId="7BA5F2F9" w:rsidR="00A357C9" w:rsidRDefault="00A357C9" w:rsidP="00A357C9">
    <w:pPr>
      <w:pStyle w:val="SemEspaamento"/>
      <w:jc w:val="center"/>
    </w:pPr>
    <w:r>
      <w:t>PÚBLICOS</w:t>
    </w:r>
    <w:r>
      <w:t xml:space="preserve"> </w:t>
    </w:r>
    <w:r>
      <w:t>MUNICIPAIS DE GOVERNADOR JORGE TEIXEIRA</w:t>
    </w:r>
  </w:p>
  <w:p w14:paraId="79ED3BDB" w14:textId="6EB7F0C3" w:rsidR="003B5447" w:rsidRDefault="00A357C9" w:rsidP="00A357C9">
    <w:pPr>
      <w:jc w:val="center"/>
    </w:pPr>
    <w:r>
      <w:t>CNPJ 13.363.520/0001-00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CB01" w14:textId="534ACC30" w:rsidR="003B5447" w:rsidRDefault="003B54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3A6D" w14:textId="77777777" w:rsidR="001857BF" w:rsidRDefault="001857BF" w:rsidP="001857BF">
    <w:pPr>
      <w:pStyle w:val="SemEspaamento"/>
      <w:jc w:val="center"/>
    </w:pPr>
    <w:r>
      <w:rPr>
        <w:noProof/>
        <w:lang w:eastAsia="pt-BR"/>
      </w:rPr>
      <w:drawing>
        <wp:anchor distT="0" distB="0" distL="114935" distR="114935" simplePos="0" relativeHeight="251663360" behindDoc="1" locked="0" layoutInCell="1" allowOverlap="1" wp14:anchorId="7DFE9C11" wp14:editId="2BB63A2E">
          <wp:simplePos x="0" y="0"/>
          <wp:positionH relativeFrom="column">
            <wp:posOffset>4906148</wp:posOffset>
          </wp:positionH>
          <wp:positionV relativeFrom="paragraph">
            <wp:posOffset>-72390</wp:posOffset>
          </wp:positionV>
          <wp:extent cx="913765" cy="779145"/>
          <wp:effectExtent l="0" t="0" r="635" b="1905"/>
          <wp:wrapTight wrapText="bothSides">
            <wp:wrapPolygon edited="0">
              <wp:start x="0" y="0"/>
              <wp:lineTo x="0" y="21125"/>
              <wp:lineTo x="21165" y="21125"/>
              <wp:lineTo x="21165"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7791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2336" behindDoc="1" locked="0" layoutInCell="1" allowOverlap="1" wp14:anchorId="08E2C6D0" wp14:editId="7EF1D3B4">
          <wp:simplePos x="0" y="0"/>
          <wp:positionH relativeFrom="margin">
            <wp:posOffset>17145</wp:posOffset>
          </wp:positionH>
          <wp:positionV relativeFrom="paragraph">
            <wp:posOffset>6350</wp:posOffset>
          </wp:positionV>
          <wp:extent cx="930275" cy="723265"/>
          <wp:effectExtent l="0" t="0" r="3175" b="635"/>
          <wp:wrapTight wrapText="bothSides">
            <wp:wrapPolygon edited="0">
              <wp:start x="0" y="0"/>
              <wp:lineTo x="0" y="21050"/>
              <wp:lineTo x="21231" y="21050"/>
              <wp:lineTo x="21231"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7232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GJTPREVI</w:t>
    </w:r>
  </w:p>
  <w:p w14:paraId="75076AA5" w14:textId="1E539ECC" w:rsidR="001857BF" w:rsidRDefault="001857BF" w:rsidP="001857BF">
    <w:pPr>
      <w:pStyle w:val="SemEspaamento"/>
      <w:jc w:val="center"/>
    </w:pPr>
    <w:r>
      <w:t>INSTITUTO DE PREVIDÊNCIA SOCIAL DOS SERVIDORES</w:t>
    </w:r>
  </w:p>
  <w:p w14:paraId="3893304E" w14:textId="77777777" w:rsidR="001857BF" w:rsidRDefault="001857BF" w:rsidP="001857BF">
    <w:pPr>
      <w:pStyle w:val="SemEspaamento"/>
      <w:jc w:val="center"/>
    </w:pPr>
    <w:r>
      <w:t>PÚBLICOS MUNICIPAIS DE GOVERNADOR JORGE TEIXEIRA</w:t>
    </w:r>
  </w:p>
  <w:p w14:paraId="41869C5F" w14:textId="01B0FDA0" w:rsidR="003B5447" w:rsidRPr="001857BF" w:rsidRDefault="001857BF" w:rsidP="001857BF">
    <w:pPr>
      <w:pStyle w:val="Cabealho"/>
      <w:jc w:val="center"/>
    </w:pPr>
    <w:r>
      <w:t>CNPJ 13.363.520/0001-00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7E46" w14:textId="771748A5" w:rsidR="003B5447" w:rsidRDefault="003B54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856"/>
    <w:multiLevelType w:val="multilevel"/>
    <w:tmpl w:val="DADEFBFE"/>
    <w:lvl w:ilvl="0">
      <w:start w:val="1"/>
      <w:numFmt w:val="decimal"/>
      <w:lvlText w:val="%1."/>
      <w:lvlJc w:val="left"/>
      <w:pPr>
        <w:ind w:left="360" w:hanging="360"/>
      </w:pPr>
      <w:rPr>
        <w:rFonts w:hint="default"/>
        <w:b/>
        <w:color w:val="auto"/>
      </w:rPr>
    </w:lvl>
    <w:lvl w:ilvl="1">
      <w:start w:val="1"/>
      <w:numFmt w:val="decimal"/>
      <w:lvlText w:val="%2.1"/>
      <w:lvlJc w:val="left"/>
      <w:pPr>
        <w:ind w:left="360" w:hanging="360"/>
      </w:pPr>
      <w:rPr>
        <w:rFonts w:hint="default"/>
        <w:b/>
        <w:color w:val="auto"/>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084" w:hanging="1800"/>
      </w:pPr>
      <w:rPr>
        <w:rFonts w:hint="default"/>
        <w:b/>
      </w:rPr>
    </w:lvl>
  </w:abstractNum>
  <w:abstractNum w:abstractNumId="1" w15:restartNumberingAfterBreak="0">
    <w:nsid w:val="12324810"/>
    <w:multiLevelType w:val="hybridMultilevel"/>
    <w:tmpl w:val="1676E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93C3C12"/>
    <w:multiLevelType w:val="hybridMultilevel"/>
    <w:tmpl w:val="AB625612"/>
    <w:lvl w:ilvl="0" w:tplc="49EEAF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C87102D"/>
    <w:multiLevelType w:val="multilevel"/>
    <w:tmpl w:val="FBE05870"/>
    <w:lvl w:ilvl="0">
      <w:start w:val="4"/>
      <w:numFmt w:val="decimal"/>
      <w:lvlText w:val="%1."/>
      <w:lvlJc w:val="left"/>
      <w:pPr>
        <w:ind w:left="360" w:hanging="360"/>
      </w:pPr>
      <w:rPr>
        <w:rFonts w:hint="default"/>
        <w:b/>
        <w:color w:val="auto"/>
      </w:rPr>
    </w:lvl>
    <w:lvl w:ilvl="1">
      <w:start w:val="4"/>
      <w:numFmt w:val="decimal"/>
      <w:lvlText w:val="%2.1"/>
      <w:lvlJc w:val="left"/>
      <w:pPr>
        <w:ind w:left="360" w:hanging="360"/>
      </w:pPr>
      <w:rPr>
        <w:rFonts w:hint="default"/>
        <w:b/>
        <w:color w:val="auto"/>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084" w:hanging="1800"/>
      </w:pPr>
      <w:rPr>
        <w:rFonts w:hint="default"/>
        <w:b/>
      </w:rPr>
    </w:lvl>
  </w:abstractNum>
  <w:abstractNum w:abstractNumId="4" w15:restartNumberingAfterBreak="0">
    <w:nsid w:val="2046482E"/>
    <w:multiLevelType w:val="multilevel"/>
    <w:tmpl w:val="85EADB82"/>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084" w:hanging="1800"/>
      </w:pPr>
      <w:rPr>
        <w:rFonts w:hint="default"/>
        <w:b/>
      </w:rPr>
    </w:lvl>
  </w:abstractNum>
  <w:abstractNum w:abstractNumId="5" w15:restartNumberingAfterBreak="0">
    <w:nsid w:val="21D92A53"/>
    <w:multiLevelType w:val="hybridMultilevel"/>
    <w:tmpl w:val="FC76E49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224E5284"/>
    <w:multiLevelType w:val="multilevel"/>
    <w:tmpl w:val="44E461CC"/>
    <w:lvl w:ilvl="0">
      <w:start w:val="1"/>
      <w:numFmt w:val="decimal"/>
      <w:lvlText w:val="%1."/>
      <w:lvlJc w:val="left"/>
      <w:pPr>
        <w:ind w:left="720" w:hanging="360"/>
      </w:pPr>
      <w:rPr>
        <w:rFonts w:hint="default"/>
        <w:b/>
        <w:b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4236A9"/>
    <w:multiLevelType w:val="hybridMultilevel"/>
    <w:tmpl w:val="40264A5A"/>
    <w:lvl w:ilvl="0" w:tplc="D126157C">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AE0143"/>
    <w:multiLevelType w:val="hybridMultilevel"/>
    <w:tmpl w:val="B7DAA604"/>
    <w:lvl w:ilvl="0" w:tplc="9954B97E">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8FB6D7A"/>
    <w:multiLevelType w:val="hybridMultilevel"/>
    <w:tmpl w:val="6C5431D0"/>
    <w:lvl w:ilvl="0" w:tplc="75F8104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9A67AFB"/>
    <w:multiLevelType w:val="multilevel"/>
    <w:tmpl w:val="44E461CC"/>
    <w:lvl w:ilvl="0">
      <w:start w:val="1"/>
      <w:numFmt w:val="decimal"/>
      <w:lvlText w:val="%1."/>
      <w:lvlJc w:val="left"/>
      <w:pPr>
        <w:ind w:left="720" w:hanging="360"/>
      </w:pPr>
      <w:rPr>
        <w:rFonts w:hint="default"/>
        <w:b/>
        <w:b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6E2AF6"/>
    <w:multiLevelType w:val="multilevel"/>
    <w:tmpl w:val="9A44A55A"/>
    <w:lvl w:ilvl="0">
      <w:start w:val="1"/>
      <w:numFmt w:val="decimal"/>
      <w:lvlText w:val="%1."/>
      <w:lvlJc w:val="left"/>
      <w:pPr>
        <w:ind w:left="1212" w:hanging="360"/>
      </w:pPr>
      <w:rPr>
        <w:rFonts w:hint="default"/>
        <w:b/>
      </w:rPr>
    </w:lvl>
    <w:lvl w:ilvl="1">
      <w:start w:val="1"/>
      <w:numFmt w:val="bullet"/>
      <w:lvlText w:val=""/>
      <w:lvlJc w:val="left"/>
      <w:pPr>
        <w:ind w:left="1212" w:hanging="360"/>
      </w:pPr>
      <w:rPr>
        <w:rFonts w:ascii="Symbol" w:hAnsi="Symbol"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12" w15:restartNumberingAfterBreak="0">
    <w:nsid w:val="36337A70"/>
    <w:multiLevelType w:val="hybridMultilevel"/>
    <w:tmpl w:val="E1DE9198"/>
    <w:lvl w:ilvl="0" w:tplc="0416000F">
      <w:start w:val="1"/>
      <w:numFmt w:val="decimal"/>
      <w:lvlText w:val="%1."/>
      <w:lvlJc w:val="left"/>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38DF0AEA"/>
    <w:multiLevelType w:val="hybridMultilevel"/>
    <w:tmpl w:val="E9D88538"/>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38FF427A"/>
    <w:multiLevelType w:val="hybridMultilevel"/>
    <w:tmpl w:val="10B8E69C"/>
    <w:lvl w:ilvl="0" w:tplc="0416000D">
      <w:start w:val="1"/>
      <w:numFmt w:val="bullet"/>
      <w:lvlText w:val=""/>
      <w:lvlJc w:val="left"/>
      <w:rPr>
        <w:rFonts w:ascii="Wingdings" w:hAnsi="Wingding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39E84498"/>
    <w:multiLevelType w:val="hybridMultilevel"/>
    <w:tmpl w:val="63645430"/>
    <w:lvl w:ilvl="0" w:tplc="2D965A4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A6F613E"/>
    <w:multiLevelType w:val="hybridMultilevel"/>
    <w:tmpl w:val="9FA2AD7A"/>
    <w:lvl w:ilvl="0" w:tplc="DCCAB126">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41E236BB"/>
    <w:multiLevelType w:val="hybridMultilevel"/>
    <w:tmpl w:val="63645430"/>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49533451"/>
    <w:multiLevelType w:val="hybridMultilevel"/>
    <w:tmpl w:val="3426E1AE"/>
    <w:lvl w:ilvl="0" w:tplc="5EECD6E2">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4EBD5E4E"/>
    <w:multiLevelType w:val="hybridMultilevel"/>
    <w:tmpl w:val="1F44D1F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302426"/>
    <w:multiLevelType w:val="hybridMultilevel"/>
    <w:tmpl w:val="75F80A18"/>
    <w:lvl w:ilvl="0" w:tplc="F2CE91F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6FD743F"/>
    <w:multiLevelType w:val="multilevel"/>
    <w:tmpl w:val="9A44A55A"/>
    <w:lvl w:ilvl="0">
      <w:start w:val="1"/>
      <w:numFmt w:val="decimal"/>
      <w:lvlText w:val="%1."/>
      <w:lvlJc w:val="left"/>
      <w:pPr>
        <w:ind w:left="1212" w:hanging="360"/>
      </w:pPr>
      <w:rPr>
        <w:rFonts w:hint="default"/>
        <w:b/>
      </w:rPr>
    </w:lvl>
    <w:lvl w:ilvl="1">
      <w:start w:val="1"/>
      <w:numFmt w:val="bullet"/>
      <w:lvlText w:val=""/>
      <w:lvlJc w:val="left"/>
      <w:pPr>
        <w:ind w:left="1212" w:hanging="360"/>
      </w:pPr>
      <w:rPr>
        <w:rFonts w:ascii="Symbol" w:hAnsi="Symbol"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22" w15:restartNumberingAfterBreak="0">
    <w:nsid w:val="573D03A7"/>
    <w:multiLevelType w:val="hybridMultilevel"/>
    <w:tmpl w:val="45D2F32A"/>
    <w:lvl w:ilvl="0" w:tplc="451E1AB8">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2F438A"/>
    <w:multiLevelType w:val="hybridMultilevel"/>
    <w:tmpl w:val="7D04A9B0"/>
    <w:lvl w:ilvl="0" w:tplc="3AE4C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57D362A"/>
    <w:multiLevelType w:val="hybridMultilevel"/>
    <w:tmpl w:val="63645430"/>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65E554AD"/>
    <w:multiLevelType w:val="hybridMultilevel"/>
    <w:tmpl w:val="E20EED40"/>
    <w:lvl w:ilvl="0" w:tplc="FE269F1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BE75ABC"/>
    <w:multiLevelType w:val="hybridMultilevel"/>
    <w:tmpl w:val="3348CA00"/>
    <w:lvl w:ilvl="0" w:tplc="ACE2D32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E5B67C8"/>
    <w:multiLevelType w:val="hybridMultilevel"/>
    <w:tmpl w:val="AB625612"/>
    <w:lvl w:ilvl="0" w:tplc="49EEAF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6EBF605F"/>
    <w:multiLevelType w:val="hybridMultilevel"/>
    <w:tmpl w:val="63645430"/>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7571520D"/>
    <w:multiLevelType w:val="hybridMultilevel"/>
    <w:tmpl w:val="1332D452"/>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15:restartNumberingAfterBreak="0">
    <w:nsid w:val="78FC2673"/>
    <w:multiLevelType w:val="multilevel"/>
    <w:tmpl w:val="73340AC6"/>
    <w:lvl w:ilvl="0">
      <w:start w:val="1"/>
      <w:numFmt w:val="decimal"/>
      <w:lvlText w:val="%1."/>
      <w:lvlJc w:val="left"/>
      <w:pPr>
        <w:ind w:left="720" w:hanging="360"/>
      </w:pPr>
      <w:rPr>
        <w:rFonts w:hint="default"/>
        <w:b/>
        <w:bCs/>
      </w:rPr>
    </w:lvl>
    <w:lvl w:ilvl="1">
      <w:start w:val="1"/>
      <w:numFmt w:val="decimal"/>
      <w:isLgl/>
      <w:lvlText w:val="%1.%2."/>
      <w:lvlJc w:val="left"/>
      <w:pPr>
        <w:ind w:left="1190" w:hanging="48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EF2233"/>
    <w:multiLevelType w:val="hybridMultilevel"/>
    <w:tmpl w:val="5B9E1C3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20"/>
  </w:num>
  <w:num w:numId="2">
    <w:abstractNumId w:val="26"/>
  </w:num>
  <w:num w:numId="3">
    <w:abstractNumId w:val="16"/>
  </w:num>
  <w:num w:numId="4">
    <w:abstractNumId w:val="30"/>
  </w:num>
  <w:num w:numId="5">
    <w:abstractNumId w:val="23"/>
  </w:num>
  <w:num w:numId="6">
    <w:abstractNumId w:val="4"/>
  </w:num>
  <w:num w:numId="7">
    <w:abstractNumId w:val="0"/>
  </w:num>
  <w:num w:numId="8">
    <w:abstractNumId w:val="3"/>
  </w:num>
  <w:num w:numId="9">
    <w:abstractNumId w:val="27"/>
  </w:num>
  <w:num w:numId="10">
    <w:abstractNumId w:val="2"/>
  </w:num>
  <w:num w:numId="11">
    <w:abstractNumId w:val="11"/>
  </w:num>
  <w:num w:numId="12">
    <w:abstractNumId w:val="21"/>
  </w:num>
  <w:num w:numId="13">
    <w:abstractNumId w:val="1"/>
  </w:num>
  <w:num w:numId="14">
    <w:abstractNumId w:val="19"/>
  </w:num>
  <w:num w:numId="15">
    <w:abstractNumId w:val="15"/>
  </w:num>
  <w:num w:numId="16">
    <w:abstractNumId w:val="17"/>
  </w:num>
  <w:num w:numId="17">
    <w:abstractNumId w:val="24"/>
  </w:num>
  <w:num w:numId="18">
    <w:abstractNumId w:val="28"/>
  </w:num>
  <w:num w:numId="19">
    <w:abstractNumId w:val="6"/>
  </w:num>
  <w:num w:numId="20">
    <w:abstractNumId w:val="10"/>
  </w:num>
  <w:num w:numId="21">
    <w:abstractNumId w:val="31"/>
  </w:num>
  <w:num w:numId="22">
    <w:abstractNumId w:val="9"/>
  </w:num>
  <w:num w:numId="23">
    <w:abstractNumId w:val="14"/>
  </w:num>
  <w:num w:numId="24">
    <w:abstractNumId w:val="12"/>
  </w:num>
  <w:num w:numId="25">
    <w:abstractNumId w:val="29"/>
  </w:num>
  <w:num w:numId="26">
    <w:abstractNumId w:val="5"/>
  </w:num>
  <w:num w:numId="27">
    <w:abstractNumId w:val="18"/>
  </w:num>
  <w:num w:numId="28">
    <w:abstractNumId w:val="13"/>
  </w:num>
  <w:num w:numId="29">
    <w:abstractNumId w:val="7"/>
  </w:num>
  <w:num w:numId="30">
    <w:abstractNumId w:val="22"/>
  </w:num>
  <w:num w:numId="31">
    <w:abstractNumId w:val="2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2E"/>
    <w:rsid w:val="000010B4"/>
    <w:rsid w:val="000078BB"/>
    <w:rsid w:val="000126A8"/>
    <w:rsid w:val="00013D14"/>
    <w:rsid w:val="000141F6"/>
    <w:rsid w:val="00014A37"/>
    <w:rsid w:val="00016C54"/>
    <w:rsid w:val="00022E2E"/>
    <w:rsid w:val="000233F6"/>
    <w:rsid w:val="000246A0"/>
    <w:rsid w:val="00025764"/>
    <w:rsid w:val="00025A9C"/>
    <w:rsid w:val="00025EC7"/>
    <w:rsid w:val="00025F77"/>
    <w:rsid w:val="00027195"/>
    <w:rsid w:val="00030C2D"/>
    <w:rsid w:val="00030FDE"/>
    <w:rsid w:val="00031C35"/>
    <w:rsid w:val="00031CCC"/>
    <w:rsid w:val="00032A51"/>
    <w:rsid w:val="00032CF0"/>
    <w:rsid w:val="0003329F"/>
    <w:rsid w:val="00033BDE"/>
    <w:rsid w:val="00034DED"/>
    <w:rsid w:val="00035321"/>
    <w:rsid w:val="000356A1"/>
    <w:rsid w:val="00036687"/>
    <w:rsid w:val="0004175A"/>
    <w:rsid w:val="000417F7"/>
    <w:rsid w:val="000428CD"/>
    <w:rsid w:val="00042DA7"/>
    <w:rsid w:val="00044692"/>
    <w:rsid w:val="000446D2"/>
    <w:rsid w:val="00046281"/>
    <w:rsid w:val="000475CC"/>
    <w:rsid w:val="0004778C"/>
    <w:rsid w:val="0005295E"/>
    <w:rsid w:val="00052EB4"/>
    <w:rsid w:val="00053148"/>
    <w:rsid w:val="000575C0"/>
    <w:rsid w:val="00057867"/>
    <w:rsid w:val="000602ED"/>
    <w:rsid w:val="00060626"/>
    <w:rsid w:val="00065783"/>
    <w:rsid w:val="000659FD"/>
    <w:rsid w:val="00066B35"/>
    <w:rsid w:val="00066E7C"/>
    <w:rsid w:val="00067737"/>
    <w:rsid w:val="00072A93"/>
    <w:rsid w:val="000808CF"/>
    <w:rsid w:val="00083040"/>
    <w:rsid w:val="00084CFD"/>
    <w:rsid w:val="00091919"/>
    <w:rsid w:val="00093BC3"/>
    <w:rsid w:val="00094CF9"/>
    <w:rsid w:val="00095D19"/>
    <w:rsid w:val="00096690"/>
    <w:rsid w:val="00096F3B"/>
    <w:rsid w:val="0009708B"/>
    <w:rsid w:val="00097B47"/>
    <w:rsid w:val="000A0462"/>
    <w:rsid w:val="000A20E8"/>
    <w:rsid w:val="000A44B4"/>
    <w:rsid w:val="000A468B"/>
    <w:rsid w:val="000A4E9D"/>
    <w:rsid w:val="000A5A83"/>
    <w:rsid w:val="000B0E95"/>
    <w:rsid w:val="000B2467"/>
    <w:rsid w:val="000B35CB"/>
    <w:rsid w:val="000B3971"/>
    <w:rsid w:val="000B5025"/>
    <w:rsid w:val="000B64F4"/>
    <w:rsid w:val="000B6960"/>
    <w:rsid w:val="000B6EAA"/>
    <w:rsid w:val="000B775B"/>
    <w:rsid w:val="000B7FE9"/>
    <w:rsid w:val="000C10C3"/>
    <w:rsid w:val="000C1BAF"/>
    <w:rsid w:val="000C234B"/>
    <w:rsid w:val="000C3790"/>
    <w:rsid w:val="000C5AA4"/>
    <w:rsid w:val="000C64CF"/>
    <w:rsid w:val="000C6B35"/>
    <w:rsid w:val="000C7C13"/>
    <w:rsid w:val="000D28A8"/>
    <w:rsid w:val="000D38DB"/>
    <w:rsid w:val="000D65F0"/>
    <w:rsid w:val="000E2825"/>
    <w:rsid w:val="000E2844"/>
    <w:rsid w:val="000E31D2"/>
    <w:rsid w:val="000E7AB2"/>
    <w:rsid w:val="000F1355"/>
    <w:rsid w:val="000F4C87"/>
    <w:rsid w:val="000F53FF"/>
    <w:rsid w:val="000F5B30"/>
    <w:rsid w:val="000F677C"/>
    <w:rsid w:val="00100D95"/>
    <w:rsid w:val="00103EF2"/>
    <w:rsid w:val="001048C3"/>
    <w:rsid w:val="001067EE"/>
    <w:rsid w:val="00114281"/>
    <w:rsid w:val="0011609F"/>
    <w:rsid w:val="001166C2"/>
    <w:rsid w:val="00120536"/>
    <w:rsid w:val="00122722"/>
    <w:rsid w:val="00130DE4"/>
    <w:rsid w:val="0013234C"/>
    <w:rsid w:val="001333B6"/>
    <w:rsid w:val="00134163"/>
    <w:rsid w:val="00134273"/>
    <w:rsid w:val="00134948"/>
    <w:rsid w:val="00141847"/>
    <w:rsid w:val="00141A7F"/>
    <w:rsid w:val="0014233D"/>
    <w:rsid w:val="0014310F"/>
    <w:rsid w:val="001504FD"/>
    <w:rsid w:val="00151B69"/>
    <w:rsid w:val="0015329B"/>
    <w:rsid w:val="001537D8"/>
    <w:rsid w:val="00154047"/>
    <w:rsid w:val="00155AB3"/>
    <w:rsid w:val="0016061E"/>
    <w:rsid w:val="00160786"/>
    <w:rsid w:val="00161878"/>
    <w:rsid w:val="00163DA6"/>
    <w:rsid w:val="00164473"/>
    <w:rsid w:val="00167685"/>
    <w:rsid w:val="00167CC6"/>
    <w:rsid w:val="00170A35"/>
    <w:rsid w:val="00174722"/>
    <w:rsid w:val="00174EC8"/>
    <w:rsid w:val="00177100"/>
    <w:rsid w:val="00177C24"/>
    <w:rsid w:val="00182044"/>
    <w:rsid w:val="00182594"/>
    <w:rsid w:val="0018381F"/>
    <w:rsid w:val="001857BF"/>
    <w:rsid w:val="0018678C"/>
    <w:rsid w:val="00187356"/>
    <w:rsid w:val="0019086A"/>
    <w:rsid w:val="00191D48"/>
    <w:rsid w:val="0019365A"/>
    <w:rsid w:val="00194ADF"/>
    <w:rsid w:val="001A2069"/>
    <w:rsid w:val="001A5AEB"/>
    <w:rsid w:val="001A5F0A"/>
    <w:rsid w:val="001A6361"/>
    <w:rsid w:val="001A6A51"/>
    <w:rsid w:val="001B7FCD"/>
    <w:rsid w:val="001C02C0"/>
    <w:rsid w:val="001C29E1"/>
    <w:rsid w:val="001C2B88"/>
    <w:rsid w:val="001C4990"/>
    <w:rsid w:val="001D03E6"/>
    <w:rsid w:val="001D2648"/>
    <w:rsid w:val="001D5C97"/>
    <w:rsid w:val="001E009E"/>
    <w:rsid w:val="001E0511"/>
    <w:rsid w:val="001E06A3"/>
    <w:rsid w:val="001E3988"/>
    <w:rsid w:val="001E3EEA"/>
    <w:rsid w:val="001E4C91"/>
    <w:rsid w:val="001E5BD5"/>
    <w:rsid w:val="001E64DE"/>
    <w:rsid w:val="001E6D81"/>
    <w:rsid w:val="001F76E4"/>
    <w:rsid w:val="00201F23"/>
    <w:rsid w:val="00204156"/>
    <w:rsid w:val="00204C07"/>
    <w:rsid w:val="00204EFC"/>
    <w:rsid w:val="00205458"/>
    <w:rsid w:val="00206158"/>
    <w:rsid w:val="002070CC"/>
    <w:rsid w:val="0020783A"/>
    <w:rsid w:val="00212701"/>
    <w:rsid w:val="00216011"/>
    <w:rsid w:val="002178AA"/>
    <w:rsid w:val="00223C43"/>
    <w:rsid w:val="00225CEC"/>
    <w:rsid w:val="00227677"/>
    <w:rsid w:val="00227BFF"/>
    <w:rsid w:val="0023051F"/>
    <w:rsid w:val="00230757"/>
    <w:rsid w:val="002354CF"/>
    <w:rsid w:val="0023566F"/>
    <w:rsid w:val="002357A1"/>
    <w:rsid w:val="00237A71"/>
    <w:rsid w:val="0024006D"/>
    <w:rsid w:val="00241170"/>
    <w:rsid w:val="00242179"/>
    <w:rsid w:val="00242794"/>
    <w:rsid w:val="00244737"/>
    <w:rsid w:val="00246D19"/>
    <w:rsid w:val="0024764C"/>
    <w:rsid w:val="00247ADA"/>
    <w:rsid w:val="002503FF"/>
    <w:rsid w:val="00254A87"/>
    <w:rsid w:val="00254E93"/>
    <w:rsid w:val="002567C8"/>
    <w:rsid w:val="00260CEB"/>
    <w:rsid w:val="00260D4F"/>
    <w:rsid w:val="00261DFA"/>
    <w:rsid w:val="00264ECA"/>
    <w:rsid w:val="002667FC"/>
    <w:rsid w:val="00266BC3"/>
    <w:rsid w:val="002703F1"/>
    <w:rsid w:val="002708BD"/>
    <w:rsid w:val="002714F2"/>
    <w:rsid w:val="00274C17"/>
    <w:rsid w:val="00280959"/>
    <w:rsid w:val="00282BAC"/>
    <w:rsid w:val="00286413"/>
    <w:rsid w:val="002903D9"/>
    <w:rsid w:val="00291BFB"/>
    <w:rsid w:val="00291F56"/>
    <w:rsid w:val="00292F39"/>
    <w:rsid w:val="00293BCF"/>
    <w:rsid w:val="002A3CE7"/>
    <w:rsid w:val="002A6AD7"/>
    <w:rsid w:val="002B0A49"/>
    <w:rsid w:val="002B1E38"/>
    <w:rsid w:val="002B6673"/>
    <w:rsid w:val="002B66DF"/>
    <w:rsid w:val="002B71DA"/>
    <w:rsid w:val="002C10DB"/>
    <w:rsid w:val="002C1842"/>
    <w:rsid w:val="002C2B31"/>
    <w:rsid w:val="002C4619"/>
    <w:rsid w:val="002C5911"/>
    <w:rsid w:val="002C7006"/>
    <w:rsid w:val="002D0362"/>
    <w:rsid w:val="002D17EB"/>
    <w:rsid w:val="002D2F96"/>
    <w:rsid w:val="002D374C"/>
    <w:rsid w:val="002D40B4"/>
    <w:rsid w:val="002D5E3E"/>
    <w:rsid w:val="002D648C"/>
    <w:rsid w:val="002E135B"/>
    <w:rsid w:val="002E180F"/>
    <w:rsid w:val="002E44EB"/>
    <w:rsid w:val="002E57B0"/>
    <w:rsid w:val="002F34DC"/>
    <w:rsid w:val="002F36FA"/>
    <w:rsid w:val="002F398C"/>
    <w:rsid w:val="00301842"/>
    <w:rsid w:val="00301D51"/>
    <w:rsid w:val="0030358A"/>
    <w:rsid w:val="00304F84"/>
    <w:rsid w:val="00307DE9"/>
    <w:rsid w:val="00310593"/>
    <w:rsid w:val="00311AE3"/>
    <w:rsid w:val="00313167"/>
    <w:rsid w:val="00316AAD"/>
    <w:rsid w:val="0031721A"/>
    <w:rsid w:val="00317680"/>
    <w:rsid w:val="003210F2"/>
    <w:rsid w:val="00321241"/>
    <w:rsid w:val="00321CB2"/>
    <w:rsid w:val="00322979"/>
    <w:rsid w:val="003233B3"/>
    <w:rsid w:val="00325329"/>
    <w:rsid w:val="0032589D"/>
    <w:rsid w:val="0032762D"/>
    <w:rsid w:val="003338C5"/>
    <w:rsid w:val="003347E4"/>
    <w:rsid w:val="00335DA9"/>
    <w:rsid w:val="00336AB6"/>
    <w:rsid w:val="00340B6B"/>
    <w:rsid w:val="00344F28"/>
    <w:rsid w:val="003470EB"/>
    <w:rsid w:val="003474C3"/>
    <w:rsid w:val="00347C41"/>
    <w:rsid w:val="003501F4"/>
    <w:rsid w:val="00351A25"/>
    <w:rsid w:val="00353185"/>
    <w:rsid w:val="00353469"/>
    <w:rsid w:val="003548E0"/>
    <w:rsid w:val="00357E7F"/>
    <w:rsid w:val="003602EF"/>
    <w:rsid w:val="00360801"/>
    <w:rsid w:val="0036082C"/>
    <w:rsid w:val="00361907"/>
    <w:rsid w:val="00361D81"/>
    <w:rsid w:val="00362959"/>
    <w:rsid w:val="0036403D"/>
    <w:rsid w:val="0036449D"/>
    <w:rsid w:val="003661D1"/>
    <w:rsid w:val="00370564"/>
    <w:rsid w:val="00370C45"/>
    <w:rsid w:val="00372A10"/>
    <w:rsid w:val="0037326A"/>
    <w:rsid w:val="0037507C"/>
    <w:rsid w:val="003751B0"/>
    <w:rsid w:val="00380F37"/>
    <w:rsid w:val="003817D6"/>
    <w:rsid w:val="0038410B"/>
    <w:rsid w:val="00386689"/>
    <w:rsid w:val="0038741C"/>
    <w:rsid w:val="00387E38"/>
    <w:rsid w:val="003904D2"/>
    <w:rsid w:val="00391377"/>
    <w:rsid w:val="003913AE"/>
    <w:rsid w:val="00391A59"/>
    <w:rsid w:val="003928A8"/>
    <w:rsid w:val="00392D61"/>
    <w:rsid w:val="00392DBD"/>
    <w:rsid w:val="00392DC6"/>
    <w:rsid w:val="0039436A"/>
    <w:rsid w:val="00394693"/>
    <w:rsid w:val="003957EB"/>
    <w:rsid w:val="003966A7"/>
    <w:rsid w:val="00396E0F"/>
    <w:rsid w:val="003A0ECA"/>
    <w:rsid w:val="003A12BB"/>
    <w:rsid w:val="003A39F8"/>
    <w:rsid w:val="003A4673"/>
    <w:rsid w:val="003A4D73"/>
    <w:rsid w:val="003B1630"/>
    <w:rsid w:val="003B1E4B"/>
    <w:rsid w:val="003B44EF"/>
    <w:rsid w:val="003B52EB"/>
    <w:rsid w:val="003B5447"/>
    <w:rsid w:val="003B6428"/>
    <w:rsid w:val="003B6D17"/>
    <w:rsid w:val="003C108C"/>
    <w:rsid w:val="003C27E8"/>
    <w:rsid w:val="003C3670"/>
    <w:rsid w:val="003D2BF7"/>
    <w:rsid w:val="003D341F"/>
    <w:rsid w:val="003D3800"/>
    <w:rsid w:val="003D3B21"/>
    <w:rsid w:val="003D6E31"/>
    <w:rsid w:val="003E144E"/>
    <w:rsid w:val="003E3607"/>
    <w:rsid w:val="003E416F"/>
    <w:rsid w:val="003E6DEB"/>
    <w:rsid w:val="003E71A6"/>
    <w:rsid w:val="003E766D"/>
    <w:rsid w:val="003F0783"/>
    <w:rsid w:val="003F127F"/>
    <w:rsid w:val="003F12D1"/>
    <w:rsid w:val="003F1AF7"/>
    <w:rsid w:val="003F4C85"/>
    <w:rsid w:val="003F4EAD"/>
    <w:rsid w:val="00400B06"/>
    <w:rsid w:val="0040189E"/>
    <w:rsid w:val="00402D71"/>
    <w:rsid w:val="004034D0"/>
    <w:rsid w:val="00404FA2"/>
    <w:rsid w:val="00406269"/>
    <w:rsid w:val="00411A24"/>
    <w:rsid w:val="00412201"/>
    <w:rsid w:val="00412647"/>
    <w:rsid w:val="0041379C"/>
    <w:rsid w:val="00414AE8"/>
    <w:rsid w:val="00420AAF"/>
    <w:rsid w:val="00420C5F"/>
    <w:rsid w:val="00420DC8"/>
    <w:rsid w:val="00422ED4"/>
    <w:rsid w:val="0042625E"/>
    <w:rsid w:val="0042653E"/>
    <w:rsid w:val="004275A2"/>
    <w:rsid w:val="00430098"/>
    <w:rsid w:val="00430C92"/>
    <w:rsid w:val="004326DF"/>
    <w:rsid w:val="004349F0"/>
    <w:rsid w:val="00435801"/>
    <w:rsid w:val="00436D59"/>
    <w:rsid w:val="00437618"/>
    <w:rsid w:val="004413F5"/>
    <w:rsid w:val="00444AF3"/>
    <w:rsid w:val="00450C6C"/>
    <w:rsid w:val="004510A1"/>
    <w:rsid w:val="00451494"/>
    <w:rsid w:val="0045169F"/>
    <w:rsid w:val="004524F5"/>
    <w:rsid w:val="00452916"/>
    <w:rsid w:val="00453DD5"/>
    <w:rsid w:val="004560D7"/>
    <w:rsid w:val="00457008"/>
    <w:rsid w:val="0046094F"/>
    <w:rsid w:val="00463CAC"/>
    <w:rsid w:val="004654B3"/>
    <w:rsid w:val="00470AF8"/>
    <w:rsid w:val="004741FB"/>
    <w:rsid w:val="00474AA6"/>
    <w:rsid w:val="00475C40"/>
    <w:rsid w:val="00481F11"/>
    <w:rsid w:val="00487174"/>
    <w:rsid w:val="0049092A"/>
    <w:rsid w:val="0049204A"/>
    <w:rsid w:val="0049521B"/>
    <w:rsid w:val="004A3936"/>
    <w:rsid w:val="004B0D4A"/>
    <w:rsid w:val="004B18D2"/>
    <w:rsid w:val="004B4F2E"/>
    <w:rsid w:val="004B688B"/>
    <w:rsid w:val="004C6C97"/>
    <w:rsid w:val="004C7123"/>
    <w:rsid w:val="004C7192"/>
    <w:rsid w:val="004D0487"/>
    <w:rsid w:val="004D07EB"/>
    <w:rsid w:val="004D1B1D"/>
    <w:rsid w:val="004D3E8E"/>
    <w:rsid w:val="004D73EE"/>
    <w:rsid w:val="004D7924"/>
    <w:rsid w:val="004E1620"/>
    <w:rsid w:val="004E23E5"/>
    <w:rsid w:val="004E2528"/>
    <w:rsid w:val="004E3FCD"/>
    <w:rsid w:val="004F31E3"/>
    <w:rsid w:val="004F454B"/>
    <w:rsid w:val="004F5C12"/>
    <w:rsid w:val="0050069F"/>
    <w:rsid w:val="00500D91"/>
    <w:rsid w:val="00501C3C"/>
    <w:rsid w:val="005042C1"/>
    <w:rsid w:val="00505ED4"/>
    <w:rsid w:val="00506425"/>
    <w:rsid w:val="005069F9"/>
    <w:rsid w:val="00511467"/>
    <w:rsid w:val="005116BD"/>
    <w:rsid w:val="00511BF1"/>
    <w:rsid w:val="00513EDE"/>
    <w:rsid w:val="005156AA"/>
    <w:rsid w:val="0051589F"/>
    <w:rsid w:val="00520DE4"/>
    <w:rsid w:val="00523920"/>
    <w:rsid w:val="00523B0F"/>
    <w:rsid w:val="00524598"/>
    <w:rsid w:val="005253C4"/>
    <w:rsid w:val="00525A27"/>
    <w:rsid w:val="00530440"/>
    <w:rsid w:val="0053098E"/>
    <w:rsid w:val="00530A79"/>
    <w:rsid w:val="0053384A"/>
    <w:rsid w:val="00535253"/>
    <w:rsid w:val="00535FE8"/>
    <w:rsid w:val="005364D7"/>
    <w:rsid w:val="00537D5D"/>
    <w:rsid w:val="00545A53"/>
    <w:rsid w:val="005460E5"/>
    <w:rsid w:val="005462ED"/>
    <w:rsid w:val="00546FBE"/>
    <w:rsid w:val="005470A2"/>
    <w:rsid w:val="005506BB"/>
    <w:rsid w:val="00550E73"/>
    <w:rsid w:val="005512B7"/>
    <w:rsid w:val="005514EA"/>
    <w:rsid w:val="0055483F"/>
    <w:rsid w:val="00555C05"/>
    <w:rsid w:val="00556711"/>
    <w:rsid w:val="0055678D"/>
    <w:rsid w:val="00557529"/>
    <w:rsid w:val="00557641"/>
    <w:rsid w:val="005601A0"/>
    <w:rsid w:val="00561869"/>
    <w:rsid w:val="00564CEF"/>
    <w:rsid w:val="00565DAA"/>
    <w:rsid w:val="0057046F"/>
    <w:rsid w:val="005730AC"/>
    <w:rsid w:val="005752F1"/>
    <w:rsid w:val="005759EE"/>
    <w:rsid w:val="00580DE0"/>
    <w:rsid w:val="0058136F"/>
    <w:rsid w:val="00582E15"/>
    <w:rsid w:val="0058301F"/>
    <w:rsid w:val="00586099"/>
    <w:rsid w:val="00587134"/>
    <w:rsid w:val="00590A58"/>
    <w:rsid w:val="00592D01"/>
    <w:rsid w:val="005942E1"/>
    <w:rsid w:val="00594DD2"/>
    <w:rsid w:val="00594EA4"/>
    <w:rsid w:val="005960D1"/>
    <w:rsid w:val="005978BC"/>
    <w:rsid w:val="00597FB9"/>
    <w:rsid w:val="005A1ABB"/>
    <w:rsid w:val="005A1AF4"/>
    <w:rsid w:val="005A32CC"/>
    <w:rsid w:val="005A3C00"/>
    <w:rsid w:val="005A60CA"/>
    <w:rsid w:val="005A617F"/>
    <w:rsid w:val="005B07B9"/>
    <w:rsid w:val="005B0B3B"/>
    <w:rsid w:val="005B17CB"/>
    <w:rsid w:val="005B2CCE"/>
    <w:rsid w:val="005B3373"/>
    <w:rsid w:val="005B40F3"/>
    <w:rsid w:val="005B65BF"/>
    <w:rsid w:val="005B65D5"/>
    <w:rsid w:val="005C2890"/>
    <w:rsid w:val="005C3B19"/>
    <w:rsid w:val="005C5C92"/>
    <w:rsid w:val="005C65E6"/>
    <w:rsid w:val="005C7430"/>
    <w:rsid w:val="005D03F1"/>
    <w:rsid w:val="005D0847"/>
    <w:rsid w:val="005D2A0D"/>
    <w:rsid w:val="005D3776"/>
    <w:rsid w:val="005D38D0"/>
    <w:rsid w:val="005D3A1E"/>
    <w:rsid w:val="005D44ED"/>
    <w:rsid w:val="005D4F54"/>
    <w:rsid w:val="005E0178"/>
    <w:rsid w:val="005E0EB4"/>
    <w:rsid w:val="005E1686"/>
    <w:rsid w:val="005E2450"/>
    <w:rsid w:val="005E27F7"/>
    <w:rsid w:val="005E3FF0"/>
    <w:rsid w:val="005E433C"/>
    <w:rsid w:val="005E4669"/>
    <w:rsid w:val="005E4785"/>
    <w:rsid w:val="005E5019"/>
    <w:rsid w:val="005E61CF"/>
    <w:rsid w:val="005E771D"/>
    <w:rsid w:val="005F07AC"/>
    <w:rsid w:val="005F0BA1"/>
    <w:rsid w:val="005F1423"/>
    <w:rsid w:val="005F17A1"/>
    <w:rsid w:val="005F18E5"/>
    <w:rsid w:val="005F7A23"/>
    <w:rsid w:val="005F7AD0"/>
    <w:rsid w:val="005F7D16"/>
    <w:rsid w:val="00600DDD"/>
    <w:rsid w:val="00600E62"/>
    <w:rsid w:val="00601DE8"/>
    <w:rsid w:val="006032C4"/>
    <w:rsid w:val="00603613"/>
    <w:rsid w:val="00603B53"/>
    <w:rsid w:val="00604CDC"/>
    <w:rsid w:val="006072E5"/>
    <w:rsid w:val="00611126"/>
    <w:rsid w:val="00615266"/>
    <w:rsid w:val="006208FF"/>
    <w:rsid w:val="0062339D"/>
    <w:rsid w:val="0062376B"/>
    <w:rsid w:val="00626ACA"/>
    <w:rsid w:val="00633E34"/>
    <w:rsid w:val="006340EA"/>
    <w:rsid w:val="00634629"/>
    <w:rsid w:val="00636353"/>
    <w:rsid w:val="00646678"/>
    <w:rsid w:val="0064678C"/>
    <w:rsid w:val="00647602"/>
    <w:rsid w:val="00650BD2"/>
    <w:rsid w:val="00651304"/>
    <w:rsid w:val="00652192"/>
    <w:rsid w:val="006540E4"/>
    <w:rsid w:val="006555CA"/>
    <w:rsid w:val="00655CF1"/>
    <w:rsid w:val="00657143"/>
    <w:rsid w:val="006571C1"/>
    <w:rsid w:val="00660A98"/>
    <w:rsid w:val="0066113B"/>
    <w:rsid w:val="00661415"/>
    <w:rsid w:val="00661ABF"/>
    <w:rsid w:val="0066253E"/>
    <w:rsid w:val="00663FFC"/>
    <w:rsid w:val="006653CB"/>
    <w:rsid w:val="00665626"/>
    <w:rsid w:val="0066635A"/>
    <w:rsid w:val="00670B58"/>
    <w:rsid w:val="00673517"/>
    <w:rsid w:val="00673AEA"/>
    <w:rsid w:val="006746D0"/>
    <w:rsid w:val="00677246"/>
    <w:rsid w:val="006879E7"/>
    <w:rsid w:val="0069026E"/>
    <w:rsid w:val="00692B65"/>
    <w:rsid w:val="00694580"/>
    <w:rsid w:val="00694A73"/>
    <w:rsid w:val="006A0F03"/>
    <w:rsid w:val="006A2562"/>
    <w:rsid w:val="006A27B1"/>
    <w:rsid w:val="006A280E"/>
    <w:rsid w:val="006A2D2E"/>
    <w:rsid w:val="006A3F35"/>
    <w:rsid w:val="006A7F28"/>
    <w:rsid w:val="006B0856"/>
    <w:rsid w:val="006B0F8B"/>
    <w:rsid w:val="006B13C0"/>
    <w:rsid w:val="006B1B95"/>
    <w:rsid w:val="006B34E8"/>
    <w:rsid w:val="006B438E"/>
    <w:rsid w:val="006B4FEE"/>
    <w:rsid w:val="006B568F"/>
    <w:rsid w:val="006B5B65"/>
    <w:rsid w:val="006B66DB"/>
    <w:rsid w:val="006B7349"/>
    <w:rsid w:val="006B7405"/>
    <w:rsid w:val="006B7E09"/>
    <w:rsid w:val="006C099B"/>
    <w:rsid w:val="006C0AFE"/>
    <w:rsid w:val="006C1129"/>
    <w:rsid w:val="006C4170"/>
    <w:rsid w:val="006C44C8"/>
    <w:rsid w:val="006C46BC"/>
    <w:rsid w:val="006D0168"/>
    <w:rsid w:val="006D040D"/>
    <w:rsid w:val="006D0590"/>
    <w:rsid w:val="006D0CE9"/>
    <w:rsid w:val="006D3C87"/>
    <w:rsid w:val="006D4455"/>
    <w:rsid w:val="006D59E7"/>
    <w:rsid w:val="006D5EDD"/>
    <w:rsid w:val="006E088F"/>
    <w:rsid w:val="006E2821"/>
    <w:rsid w:val="006E3979"/>
    <w:rsid w:val="006E3F11"/>
    <w:rsid w:val="006E4231"/>
    <w:rsid w:val="006E4419"/>
    <w:rsid w:val="006E71CD"/>
    <w:rsid w:val="006F30D1"/>
    <w:rsid w:val="006F5E94"/>
    <w:rsid w:val="006F7EC0"/>
    <w:rsid w:val="00701C97"/>
    <w:rsid w:val="0070226F"/>
    <w:rsid w:val="00702D63"/>
    <w:rsid w:val="00704ADB"/>
    <w:rsid w:val="00710364"/>
    <w:rsid w:val="00712B57"/>
    <w:rsid w:val="00713759"/>
    <w:rsid w:val="00723205"/>
    <w:rsid w:val="007260F4"/>
    <w:rsid w:val="007273DF"/>
    <w:rsid w:val="00727FBD"/>
    <w:rsid w:val="00735B2D"/>
    <w:rsid w:val="00736401"/>
    <w:rsid w:val="00737D3A"/>
    <w:rsid w:val="00740D47"/>
    <w:rsid w:val="00741064"/>
    <w:rsid w:val="007423F1"/>
    <w:rsid w:val="00743391"/>
    <w:rsid w:val="007434C8"/>
    <w:rsid w:val="00745410"/>
    <w:rsid w:val="0074748E"/>
    <w:rsid w:val="00747975"/>
    <w:rsid w:val="00747C83"/>
    <w:rsid w:val="007518D9"/>
    <w:rsid w:val="0075307F"/>
    <w:rsid w:val="0075447F"/>
    <w:rsid w:val="00754C3C"/>
    <w:rsid w:val="007558A0"/>
    <w:rsid w:val="00757BCF"/>
    <w:rsid w:val="00762642"/>
    <w:rsid w:val="00763050"/>
    <w:rsid w:val="00766B24"/>
    <w:rsid w:val="00770A3F"/>
    <w:rsid w:val="007716FF"/>
    <w:rsid w:val="00771E6C"/>
    <w:rsid w:val="007760C4"/>
    <w:rsid w:val="00782F0D"/>
    <w:rsid w:val="0078372C"/>
    <w:rsid w:val="00783789"/>
    <w:rsid w:val="00783F9A"/>
    <w:rsid w:val="00784155"/>
    <w:rsid w:val="00786B3B"/>
    <w:rsid w:val="00786EF9"/>
    <w:rsid w:val="007874DF"/>
    <w:rsid w:val="00791FDB"/>
    <w:rsid w:val="00792291"/>
    <w:rsid w:val="0079272D"/>
    <w:rsid w:val="00794BFF"/>
    <w:rsid w:val="007955B6"/>
    <w:rsid w:val="00796439"/>
    <w:rsid w:val="00796FE8"/>
    <w:rsid w:val="007A2370"/>
    <w:rsid w:val="007A331F"/>
    <w:rsid w:val="007A39AC"/>
    <w:rsid w:val="007A3D72"/>
    <w:rsid w:val="007A456F"/>
    <w:rsid w:val="007A554F"/>
    <w:rsid w:val="007B1296"/>
    <w:rsid w:val="007B364F"/>
    <w:rsid w:val="007B5A8B"/>
    <w:rsid w:val="007B6664"/>
    <w:rsid w:val="007C291B"/>
    <w:rsid w:val="007C58FB"/>
    <w:rsid w:val="007C5ADB"/>
    <w:rsid w:val="007C6780"/>
    <w:rsid w:val="007C7FF6"/>
    <w:rsid w:val="007D3156"/>
    <w:rsid w:val="007D3776"/>
    <w:rsid w:val="007D44AB"/>
    <w:rsid w:val="007D66EB"/>
    <w:rsid w:val="007D7290"/>
    <w:rsid w:val="007E1ABF"/>
    <w:rsid w:val="007E1F2A"/>
    <w:rsid w:val="007E279B"/>
    <w:rsid w:val="007E3043"/>
    <w:rsid w:val="007E35FA"/>
    <w:rsid w:val="007E3786"/>
    <w:rsid w:val="007E3B40"/>
    <w:rsid w:val="007E45D9"/>
    <w:rsid w:val="007E505D"/>
    <w:rsid w:val="007E73BD"/>
    <w:rsid w:val="007F00BD"/>
    <w:rsid w:val="007F0E1D"/>
    <w:rsid w:val="007F103B"/>
    <w:rsid w:val="007F1F55"/>
    <w:rsid w:val="007F2D2B"/>
    <w:rsid w:val="007F560F"/>
    <w:rsid w:val="007F5BBF"/>
    <w:rsid w:val="007F650B"/>
    <w:rsid w:val="007F6769"/>
    <w:rsid w:val="007F75F0"/>
    <w:rsid w:val="00800794"/>
    <w:rsid w:val="00801625"/>
    <w:rsid w:val="00804CDA"/>
    <w:rsid w:val="0080710D"/>
    <w:rsid w:val="0081313C"/>
    <w:rsid w:val="00813B2E"/>
    <w:rsid w:val="00816FC9"/>
    <w:rsid w:val="00822FCB"/>
    <w:rsid w:val="0082383B"/>
    <w:rsid w:val="0082642F"/>
    <w:rsid w:val="00827BF5"/>
    <w:rsid w:val="0083399C"/>
    <w:rsid w:val="0083438D"/>
    <w:rsid w:val="00836E82"/>
    <w:rsid w:val="008414BE"/>
    <w:rsid w:val="0084332D"/>
    <w:rsid w:val="00845202"/>
    <w:rsid w:val="00845398"/>
    <w:rsid w:val="00846229"/>
    <w:rsid w:val="00850DA7"/>
    <w:rsid w:val="0085157C"/>
    <w:rsid w:val="00854ED8"/>
    <w:rsid w:val="008553ED"/>
    <w:rsid w:val="008559A4"/>
    <w:rsid w:val="00856E5D"/>
    <w:rsid w:val="00861E40"/>
    <w:rsid w:val="00867174"/>
    <w:rsid w:val="00870748"/>
    <w:rsid w:val="00873E39"/>
    <w:rsid w:val="00874214"/>
    <w:rsid w:val="00874590"/>
    <w:rsid w:val="008746C4"/>
    <w:rsid w:val="008749EC"/>
    <w:rsid w:val="008756A8"/>
    <w:rsid w:val="008813BA"/>
    <w:rsid w:val="00883D9B"/>
    <w:rsid w:val="00885A65"/>
    <w:rsid w:val="008876A2"/>
    <w:rsid w:val="00887996"/>
    <w:rsid w:val="00887E25"/>
    <w:rsid w:val="0089129D"/>
    <w:rsid w:val="008915F0"/>
    <w:rsid w:val="008930E5"/>
    <w:rsid w:val="0089573E"/>
    <w:rsid w:val="00896549"/>
    <w:rsid w:val="008967B6"/>
    <w:rsid w:val="00896F29"/>
    <w:rsid w:val="008A21BD"/>
    <w:rsid w:val="008A21D6"/>
    <w:rsid w:val="008A2DD5"/>
    <w:rsid w:val="008A412E"/>
    <w:rsid w:val="008A5D7D"/>
    <w:rsid w:val="008A6B17"/>
    <w:rsid w:val="008A6E15"/>
    <w:rsid w:val="008A76DB"/>
    <w:rsid w:val="008B02D4"/>
    <w:rsid w:val="008B07CB"/>
    <w:rsid w:val="008B1780"/>
    <w:rsid w:val="008B1884"/>
    <w:rsid w:val="008C0AE8"/>
    <w:rsid w:val="008C0BCF"/>
    <w:rsid w:val="008C35A4"/>
    <w:rsid w:val="008D0444"/>
    <w:rsid w:val="008D320C"/>
    <w:rsid w:val="008D64F2"/>
    <w:rsid w:val="008E104C"/>
    <w:rsid w:val="008E122E"/>
    <w:rsid w:val="008E3A2F"/>
    <w:rsid w:val="008E5ADC"/>
    <w:rsid w:val="008E627C"/>
    <w:rsid w:val="008E6579"/>
    <w:rsid w:val="008F08BD"/>
    <w:rsid w:val="00904FA8"/>
    <w:rsid w:val="00905712"/>
    <w:rsid w:val="00906E99"/>
    <w:rsid w:val="00913C5E"/>
    <w:rsid w:val="009149F7"/>
    <w:rsid w:val="009154B0"/>
    <w:rsid w:val="00916BE8"/>
    <w:rsid w:val="009204F3"/>
    <w:rsid w:val="009215FC"/>
    <w:rsid w:val="00921C4B"/>
    <w:rsid w:val="00921FE6"/>
    <w:rsid w:val="009263F2"/>
    <w:rsid w:val="00927397"/>
    <w:rsid w:val="00927D40"/>
    <w:rsid w:val="00930795"/>
    <w:rsid w:val="00931324"/>
    <w:rsid w:val="00932366"/>
    <w:rsid w:val="00933247"/>
    <w:rsid w:val="00934845"/>
    <w:rsid w:val="00936135"/>
    <w:rsid w:val="0093780E"/>
    <w:rsid w:val="00937C13"/>
    <w:rsid w:val="00942A45"/>
    <w:rsid w:val="00943C02"/>
    <w:rsid w:val="00943F1C"/>
    <w:rsid w:val="009440BE"/>
    <w:rsid w:val="00945AA4"/>
    <w:rsid w:val="009466A8"/>
    <w:rsid w:val="00950810"/>
    <w:rsid w:val="00951A07"/>
    <w:rsid w:val="00952A8D"/>
    <w:rsid w:val="00954AF7"/>
    <w:rsid w:val="0095505A"/>
    <w:rsid w:val="00957D5E"/>
    <w:rsid w:val="00960F2F"/>
    <w:rsid w:val="0096298E"/>
    <w:rsid w:val="00964426"/>
    <w:rsid w:val="0096497D"/>
    <w:rsid w:val="0096504D"/>
    <w:rsid w:val="009653A3"/>
    <w:rsid w:val="00966D37"/>
    <w:rsid w:val="009678D4"/>
    <w:rsid w:val="009700E6"/>
    <w:rsid w:val="009700FF"/>
    <w:rsid w:val="00970898"/>
    <w:rsid w:val="009723BB"/>
    <w:rsid w:val="00973BCB"/>
    <w:rsid w:val="00975C70"/>
    <w:rsid w:val="00976177"/>
    <w:rsid w:val="00976582"/>
    <w:rsid w:val="009775C5"/>
    <w:rsid w:val="00977FF3"/>
    <w:rsid w:val="009801ED"/>
    <w:rsid w:val="0098090C"/>
    <w:rsid w:val="00981B7D"/>
    <w:rsid w:val="0098242F"/>
    <w:rsid w:val="00983449"/>
    <w:rsid w:val="00986C11"/>
    <w:rsid w:val="0099074B"/>
    <w:rsid w:val="009912A3"/>
    <w:rsid w:val="009926AC"/>
    <w:rsid w:val="00995FA7"/>
    <w:rsid w:val="009A1C91"/>
    <w:rsid w:val="009A2CDD"/>
    <w:rsid w:val="009A2DB2"/>
    <w:rsid w:val="009A4686"/>
    <w:rsid w:val="009A5D21"/>
    <w:rsid w:val="009A6F5C"/>
    <w:rsid w:val="009B47B2"/>
    <w:rsid w:val="009B5888"/>
    <w:rsid w:val="009C357F"/>
    <w:rsid w:val="009C68F8"/>
    <w:rsid w:val="009C780C"/>
    <w:rsid w:val="009D084F"/>
    <w:rsid w:val="009D095E"/>
    <w:rsid w:val="009D0C01"/>
    <w:rsid w:val="009D1A18"/>
    <w:rsid w:val="009D5C2F"/>
    <w:rsid w:val="009D6883"/>
    <w:rsid w:val="009D776E"/>
    <w:rsid w:val="009E348A"/>
    <w:rsid w:val="009E3E19"/>
    <w:rsid w:val="009E4180"/>
    <w:rsid w:val="009E45A5"/>
    <w:rsid w:val="009E5C36"/>
    <w:rsid w:val="009E68CF"/>
    <w:rsid w:val="009F10EC"/>
    <w:rsid w:val="009F1DEA"/>
    <w:rsid w:val="009F3E56"/>
    <w:rsid w:val="009F5B1B"/>
    <w:rsid w:val="009F676D"/>
    <w:rsid w:val="009F6F5F"/>
    <w:rsid w:val="00A0031B"/>
    <w:rsid w:val="00A00473"/>
    <w:rsid w:val="00A00CD4"/>
    <w:rsid w:val="00A00E00"/>
    <w:rsid w:val="00A02266"/>
    <w:rsid w:val="00A028BC"/>
    <w:rsid w:val="00A034B4"/>
    <w:rsid w:val="00A04ACB"/>
    <w:rsid w:val="00A05DBB"/>
    <w:rsid w:val="00A07FCC"/>
    <w:rsid w:val="00A1392D"/>
    <w:rsid w:val="00A164FE"/>
    <w:rsid w:val="00A17A2F"/>
    <w:rsid w:val="00A22249"/>
    <w:rsid w:val="00A2247E"/>
    <w:rsid w:val="00A22C78"/>
    <w:rsid w:val="00A2502B"/>
    <w:rsid w:val="00A26648"/>
    <w:rsid w:val="00A3294F"/>
    <w:rsid w:val="00A334DC"/>
    <w:rsid w:val="00A334F7"/>
    <w:rsid w:val="00A34FF3"/>
    <w:rsid w:val="00A357C9"/>
    <w:rsid w:val="00A35822"/>
    <w:rsid w:val="00A35EA2"/>
    <w:rsid w:val="00A36AA6"/>
    <w:rsid w:val="00A372B2"/>
    <w:rsid w:val="00A423B5"/>
    <w:rsid w:val="00A44C28"/>
    <w:rsid w:val="00A45FE8"/>
    <w:rsid w:val="00A47601"/>
    <w:rsid w:val="00A4766C"/>
    <w:rsid w:val="00A5060C"/>
    <w:rsid w:val="00A506EF"/>
    <w:rsid w:val="00A52EED"/>
    <w:rsid w:val="00A65561"/>
    <w:rsid w:val="00A668B3"/>
    <w:rsid w:val="00A67697"/>
    <w:rsid w:val="00A705F0"/>
    <w:rsid w:val="00A70B1D"/>
    <w:rsid w:val="00A70CFA"/>
    <w:rsid w:val="00A72BCF"/>
    <w:rsid w:val="00A733D1"/>
    <w:rsid w:val="00A73BB2"/>
    <w:rsid w:val="00A7461D"/>
    <w:rsid w:val="00A748FC"/>
    <w:rsid w:val="00A75697"/>
    <w:rsid w:val="00A76350"/>
    <w:rsid w:val="00A806BA"/>
    <w:rsid w:val="00A815C7"/>
    <w:rsid w:val="00A834BD"/>
    <w:rsid w:val="00A86E52"/>
    <w:rsid w:val="00A87B3A"/>
    <w:rsid w:val="00A87E1F"/>
    <w:rsid w:val="00A93383"/>
    <w:rsid w:val="00AA3D21"/>
    <w:rsid w:val="00AA5641"/>
    <w:rsid w:val="00AC1B1B"/>
    <w:rsid w:val="00AC3D26"/>
    <w:rsid w:val="00AC4605"/>
    <w:rsid w:val="00AC48A7"/>
    <w:rsid w:val="00AC6095"/>
    <w:rsid w:val="00AD34CE"/>
    <w:rsid w:val="00AD6FE7"/>
    <w:rsid w:val="00AE0256"/>
    <w:rsid w:val="00AE0479"/>
    <w:rsid w:val="00AE3460"/>
    <w:rsid w:val="00AE5B5F"/>
    <w:rsid w:val="00AE689F"/>
    <w:rsid w:val="00AF05BD"/>
    <w:rsid w:val="00AF09ED"/>
    <w:rsid w:val="00AF1F46"/>
    <w:rsid w:val="00AF2CA5"/>
    <w:rsid w:val="00AF373C"/>
    <w:rsid w:val="00AF3C68"/>
    <w:rsid w:val="00AF4864"/>
    <w:rsid w:val="00AF5961"/>
    <w:rsid w:val="00AF701C"/>
    <w:rsid w:val="00B00263"/>
    <w:rsid w:val="00B01853"/>
    <w:rsid w:val="00B0280A"/>
    <w:rsid w:val="00B03275"/>
    <w:rsid w:val="00B0747E"/>
    <w:rsid w:val="00B101CE"/>
    <w:rsid w:val="00B10783"/>
    <w:rsid w:val="00B12A69"/>
    <w:rsid w:val="00B13EA7"/>
    <w:rsid w:val="00B13EB2"/>
    <w:rsid w:val="00B14041"/>
    <w:rsid w:val="00B1468A"/>
    <w:rsid w:val="00B15E8B"/>
    <w:rsid w:val="00B16CA9"/>
    <w:rsid w:val="00B24E01"/>
    <w:rsid w:val="00B3066E"/>
    <w:rsid w:val="00B31358"/>
    <w:rsid w:val="00B32C71"/>
    <w:rsid w:val="00B34A9E"/>
    <w:rsid w:val="00B3749C"/>
    <w:rsid w:val="00B4082F"/>
    <w:rsid w:val="00B449B4"/>
    <w:rsid w:val="00B50C02"/>
    <w:rsid w:val="00B51E1E"/>
    <w:rsid w:val="00B544E2"/>
    <w:rsid w:val="00B56DBD"/>
    <w:rsid w:val="00B57934"/>
    <w:rsid w:val="00B60CB6"/>
    <w:rsid w:val="00B630D2"/>
    <w:rsid w:val="00B63259"/>
    <w:rsid w:val="00B63B05"/>
    <w:rsid w:val="00B63C08"/>
    <w:rsid w:val="00B646B5"/>
    <w:rsid w:val="00B655CF"/>
    <w:rsid w:val="00B67E69"/>
    <w:rsid w:val="00B70034"/>
    <w:rsid w:val="00B751C8"/>
    <w:rsid w:val="00B763F6"/>
    <w:rsid w:val="00B76960"/>
    <w:rsid w:val="00B773E4"/>
    <w:rsid w:val="00B7780A"/>
    <w:rsid w:val="00B779AD"/>
    <w:rsid w:val="00B84ECD"/>
    <w:rsid w:val="00B90C0B"/>
    <w:rsid w:val="00B90E86"/>
    <w:rsid w:val="00B913CF"/>
    <w:rsid w:val="00B921E7"/>
    <w:rsid w:val="00B94BCA"/>
    <w:rsid w:val="00B952F1"/>
    <w:rsid w:val="00B95C8E"/>
    <w:rsid w:val="00B97192"/>
    <w:rsid w:val="00BA01F3"/>
    <w:rsid w:val="00BA0757"/>
    <w:rsid w:val="00BA307F"/>
    <w:rsid w:val="00BA318D"/>
    <w:rsid w:val="00BA34DA"/>
    <w:rsid w:val="00BA39D7"/>
    <w:rsid w:val="00BA67C4"/>
    <w:rsid w:val="00BA71D8"/>
    <w:rsid w:val="00BA7A8A"/>
    <w:rsid w:val="00BB1424"/>
    <w:rsid w:val="00BB1DFD"/>
    <w:rsid w:val="00BB366C"/>
    <w:rsid w:val="00BB3FF7"/>
    <w:rsid w:val="00BB5AE7"/>
    <w:rsid w:val="00BC2D20"/>
    <w:rsid w:val="00BC691D"/>
    <w:rsid w:val="00BD51D0"/>
    <w:rsid w:val="00BD5CD9"/>
    <w:rsid w:val="00BD631A"/>
    <w:rsid w:val="00BD7241"/>
    <w:rsid w:val="00BD755E"/>
    <w:rsid w:val="00BE1134"/>
    <w:rsid w:val="00BE1187"/>
    <w:rsid w:val="00BE2FE9"/>
    <w:rsid w:val="00BE4499"/>
    <w:rsid w:val="00BE5A1E"/>
    <w:rsid w:val="00BE5F44"/>
    <w:rsid w:val="00BF13DF"/>
    <w:rsid w:val="00BF2131"/>
    <w:rsid w:val="00BF29D9"/>
    <w:rsid w:val="00BF38EB"/>
    <w:rsid w:val="00BF3C92"/>
    <w:rsid w:val="00BF4855"/>
    <w:rsid w:val="00BF6CAC"/>
    <w:rsid w:val="00C01284"/>
    <w:rsid w:val="00C03EA7"/>
    <w:rsid w:val="00C05377"/>
    <w:rsid w:val="00C062CE"/>
    <w:rsid w:val="00C07B60"/>
    <w:rsid w:val="00C10B70"/>
    <w:rsid w:val="00C10C58"/>
    <w:rsid w:val="00C10E01"/>
    <w:rsid w:val="00C11D7F"/>
    <w:rsid w:val="00C13805"/>
    <w:rsid w:val="00C13956"/>
    <w:rsid w:val="00C14592"/>
    <w:rsid w:val="00C178FA"/>
    <w:rsid w:val="00C20E05"/>
    <w:rsid w:val="00C20E13"/>
    <w:rsid w:val="00C236CE"/>
    <w:rsid w:val="00C24894"/>
    <w:rsid w:val="00C3085A"/>
    <w:rsid w:val="00C3287C"/>
    <w:rsid w:val="00C32935"/>
    <w:rsid w:val="00C33E88"/>
    <w:rsid w:val="00C34741"/>
    <w:rsid w:val="00C36940"/>
    <w:rsid w:val="00C377F3"/>
    <w:rsid w:val="00C4025D"/>
    <w:rsid w:val="00C42D10"/>
    <w:rsid w:val="00C432E0"/>
    <w:rsid w:val="00C44B31"/>
    <w:rsid w:val="00C44B6A"/>
    <w:rsid w:val="00C44DB8"/>
    <w:rsid w:val="00C465CE"/>
    <w:rsid w:val="00C52703"/>
    <w:rsid w:val="00C52D2C"/>
    <w:rsid w:val="00C54367"/>
    <w:rsid w:val="00C54434"/>
    <w:rsid w:val="00C56750"/>
    <w:rsid w:val="00C624B5"/>
    <w:rsid w:val="00C63138"/>
    <w:rsid w:val="00C6353D"/>
    <w:rsid w:val="00C65ED7"/>
    <w:rsid w:val="00C70338"/>
    <w:rsid w:val="00C7099D"/>
    <w:rsid w:val="00C8047F"/>
    <w:rsid w:val="00C80627"/>
    <w:rsid w:val="00C80C8B"/>
    <w:rsid w:val="00C822B2"/>
    <w:rsid w:val="00C82EB6"/>
    <w:rsid w:val="00C84134"/>
    <w:rsid w:val="00C85284"/>
    <w:rsid w:val="00C858E4"/>
    <w:rsid w:val="00C86D4F"/>
    <w:rsid w:val="00C873FB"/>
    <w:rsid w:val="00C87BEA"/>
    <w:rsid w:val="00C90DBB"/>
    <w:rsid w:val="00C913ED"/>
    <w:rsid w:val="00C915BD"/>
    <w:rsid w:val="00C93077"/>
    <w:rsid w:val="00C9334D"/>
    <w:rsid w:val="00C945F6"/>
    <w:rsid w:val="00C95D93"/>
    <w:rsid w:val="00C95F0F"/>
    <w:rsid w:val="00CA05EC"/>
    <w:rsid w:val="00CA32E7"/>
    <w:rsid w:val="00CA3B75"/>
    <w:rsid w:val="00CA6A9B"/>
    <w:rsid w:val="00CA734A"/>
    <w:rsid w:val="00CB0B1F"/>
    <w:rsid w:val="00CB33A3"/>
    <w:rsid w:val="00CB376D"/>
    <w:rsid w:val="00CB4D88"/>
    <w:rsid w:val="00CB5B9D"/>
    <w:rsid w:val="00CB5BA8"/>
    <w:rsid w:val="00CB639F"/>
    <w:rsid w:val="00CC009A"/>
    <w:rsid w:val="00CC3F27"/>
    <w:rsid w:val="00CD0698"/>
    <w:rsid w:val="00CD1511"/>
    <w:rsid w:val="00CD4877"/>
    <w:rsid w:val="00CD4EB0"/>
    <w:rsid w:val="00CD5DD4"/>
    <w:rsid w:val="00CD6830"/>
    <w:rsid w:val="00CD7E43"/>
    <w:rsid w:val="00CE1733"/>
    <w:rsid w:val="00CE1B40"/>
    <w:rsid w:val="00CE28C3"/>
    <w:rsid w:val="00CE3D02"/>
    <w:rsid w:val="00CE5FE7"/>
    <w:rsid w:val="00CF0B6B"/>
    <w:rsid w:val="00CF14E3"/>
    <w:rsid w:val="00CF1560"/>
    <w:rsid w:val="00CF15D0"/>
    <w:rsid w:val="00CF1F40"/>
    <w:rsid w:val="00CF285B"/>
    <w:rsid w:val="00CF5391"/>
    <w:rsid w:val="00CF6F1E"/>
    <w:rsid w:val="00D04EE8"/>
    <w:rsid w:val="00D06393"/>
    <w:rsid w:val="00D1074C"/>
    <w:rsid w:val="00D1131B"/>
    <w:rsid w:val="00D1171F"/>
    <w:rsid w:val="00D11889"/>
    <w:rsid w:val="00D12749"/>
    <w:rsid w:val="00D13683"/>
    <w:rsid w:val="00D15EC6"/>
    <w:rsid w:val="00D1601F"/>
    <w:rsid w:val="00D205D2"/>
    <w:rsid w:val="00D23078"/>
    <w:rsid w:val="00D239E4"/>
    <w:rsid w:val="00D24C50"/>
    <w:rsid w:val="00D25610"/>
    <w:rsid w:val="00D26F77"/>
    <w:rsid w:val="00D31667"/>
    <w:rsid w:val="00D33148"/>
    <w:rsid w:val="00D34E8B"/>
    <w:rsid w:val="00D45913"/>
    <w:rsid w:val="00D46595"/>
    <w:rsid w:val="00D52A3B"/>
    <w:rsid w:val="00D5474A"/>
    <w:rsid w:val="00D561D8"/>
    <w:rsid w:val="00D60D9D"/>
    <w:rsid w:val="00D62568"/>
    <w:rsid w:val="00D62FAB"/>
    <w:rsid w:val="00D6484A"/>
    <w:rsid w:val="00D703B3"/>
    <w:rsid w:val="00D7167D"/>
    <w:rsid w:val="00D731DC"/>
    <w:rsid w:val="00D734CF"/>
    <w:rsid w:val="00D81CAF"/>
    <w:rsid w:val="00D84260"/>
    <w:rsid w:val="00D84A45"/>
    <w:rsid w:val="00D85B0A"/>
    <w:rsid w:val="00D85D5F"/>
    <w:rsid w:val="00D86D74"/>
    <w:rsid w:val="00D918D9"/>
    <w:rsid w:val="00DA00C8"/>
    <w:rsid w:val="00DA0A57"/>
    <w:rsid w:val="00DA0C86"/>
    <w:rsid w:val="00DA21B9"/>
    <w:rsid w:val="00DA5175"/>
    <w:rsid w:val="00DA649E"/>
    <w:rsid w:val="00DA64CD"/>
    <w:rsid w:val="00DA659E"/>
    <w:rsid w:val="00DB25CA"/>
    <w:rsid w:val="00DB5A59"/>
    <w:rsid w:val="00DC0058"/>
    <w:rsid w:val="00DC10C4"/>
    <w:rsid w:val="00DC2DE4"/>
    <w:rsid w:val="00DD0851"/>
    <w:rsid w:val="00DD0EAD"/>
    <w:rsid w:val="00DD1832"/>
    <w:rsid w:val="00DD2E48"/>
    <w:rsid w:val="00DD4337"/>
    <w:rsid w:val="00DD5880"/>
    <w:rsid w:val="00DD75E3"/>
    <w:rsid w:val="00DD7E01"/>
    <w:rsid w:val="00DE18BC"/>
    <w:rsid w:val="00DE18EC"/>
    <w:rsid w:val="00DE6141"/>
    <w:rsid w:val="00DE62A7"/>
    <w:rsid w:val="00DE762A"/>
    <w:rsid w:val="00DF0D6E"/>
    <w:rsid w:val="00DF1C1C"/>
    <w:rsid w:val="00DF265F"/>
    <w:rsid w:val="00DF4387"/>
    <w:rsid w:val="00DF5B77"/>
    <w:rsid w:val="00DF630D"/>
    <w:rsid w:val="00DF64A1"/>
    <w:rsid w:val="00DF7C24"/>
    <w:rsid w:val="00E04671"/>
    <w:rsid w:val="00E067AC"/>
    <w:rsid w:val="00E136D7"/>
    <w:rsid w:val="00E16B24"/>
    <w:rsid w:val="00E16DA4"/>
    <w:rsid w:val="00E208BE"/>
    <w:rsid w:val="00E20DD2"/>
    <w:rsid w:val="00E2296E"/>
    <w:rsid w:val="00E2388D"/>
    <w:rsid w:val="00E26555"/>
    <w:rsid w:val="00E33631"/>
    <w:rsid w:val="00E34F17"/>
    <w:rsid w:val="00E35B2C"/>
    <w:rsid w:val="00E3651D"/>
    <w:rsid w:val="00E41E85"/>
    <w:rsid w:val="00E43D04"/>
    <w:rsid w:val="00E444D8"/>
    <w:rsid w:val="00E45835"/>
    <w:rsid w:val="00E46701"/>
    <w:rsid w:val="00E50B0B"/>
    <w:rsid w:val="00E51521"/>
    <w:rsid w:val="00E538B5"/>
    <w:rsid w:val="00E5682A"/>
    <w:rsid w:val="00E56869"/>
    <w:rsid w:val="00E571A6"/>
    <w:rsid w:val="00E579C2"/>
    <w:rsid w:val="00E62FE2"/>
    <w:rsid w:val="00E70181"/>
    <w:rsid w:val="00E719D1"/>
    <w:rsid w:val="00E72CAA"/>
    <w:rsid w:val="00E804CA"/>
    <w:rsid w:val="00E80D2E"/>
    <w:rsid w:val="00E85A72"/>
    <w:rsid w:val="00E86EA5"/>
    <w:rsid w:val="00E87AF7"/>
    <w:rsid w:val="00E9260B"/>
    <w:rsid w:val="00E93316"/>
    <w:rsid w:val="00E93754"/>
    <w:rsid w:val="00E9461D"/>
    <w:rsid w:val="00E9631E"/>
    <w:rsid w:val="00E97281"/>
    <w:rsid w:val="00EA0AD5"/>
    <w:rsid w:val="00EA0EB0"/>
    <w:rsid w:val="00EA40D2"/>
    <w:rsid w:val="00EA6138"/>
    <w:rsid w:val="00EA6D10"/>
    <w:rsid w:val="00EB042E"/>
    <w:rsid w:val="00EB06FE"/>
    <w:rsid w:val="00EB0DD1"/>
    <w:rsid w:val="00EB1AD1"/>
    <w:rsid w:val="00EB462B"/>
    <w:rsid w:val="00EB5418"/>
    <w:rsid w:val="00EB5811"/>
    <w:rsid w:val="00EB6CD8"/>
    <w:rsid w:val="00EB70FF"/>
    <w:rsid w:val="00EC150C"/>
    <w:rsid w:val="00EC1993"/>
    <w:rsid w:val="00EC1A07"/>
    <w:rsid w:val="00EC39F2"/>
    <w:rsid w:val="00EC62B6"/>
    <w:rsid w:val="00EC6B5D"/>
    <w:rsid w:val="00EC6CF1"/>
    <w:rsid w:val="00EC70FD"/>
    <w:rsid w:val="00ED0CEF"/>
    <w:rsid w:val="00ED0CF6"/>
    <w:rsid w:val="00ED32BC"/>
    <w:rsid w:val="00ED4316"/>
    <w:rsid w:val="00ED565B"/>
    <w:rsid w:val="00ED6C82"/>
    <w:rsid w:val="00ED7BAC"/>
    <w:rsid w:val="00ED7F19"/>
    <w:rsid w:val="00EE09BF"/>
    <w:rsid w:val="00EE1489"/>
    <w:rsid w:val="00EE77B5"/>
    <w:rsid w:val="00EF014E"/>
    <w:rsid w:val="00EF0A76"/>
    <w:rsid w:val="00EF1446"/>
    <w:rsid w:val="00EF215E"/>
    <w:rsid w:val="00EF3BB0"/>
    <w:rsid w:val="00EF3BE1"/>
    <w:rsid w:val="00EF708A"/>
    <w:rsid w:val="00EF7AC6"/>
    <w:rsid w:val="00EF7DE7"/>
    <w:rsid w:val="00F00693"/>
    <w:rsid w:val="00F044FE"/>
    <w:rsid w:val="00F05875"/>
    <w:rsid w:val="00F070F2"/>
    <w:rsid w:val="00F071AD"/>
    <w:rsid w:val="00F072C0"/>
    <w:rsid w:val="00F1137A"/>
    <w:rsid w:val="00F131C1"/>
    <w:rsid w:val="00F14167"/>
    <w:rsid w:val="00F14EDD"/>
    <w:rsid w:val="00F16729"/>
    <w:rsid w:val="00F16C17"/>
    <w:rsid w:val="00F17B6C"/>
    <w:rsid w:val="00F2251F"/>
    <w:rsid w:val="00F24E3D"/>
    <w:rsid w:val="00F25A76"/>
    <w:rsid w:val="00F26D3D"/>
    <w:rsid w:val="00F27D64"/>
    <w:rsid w:val="00F3214C"/>
    <w:rsid w:val="00F33874"/>
    <w:rsid w:val="00F37DB5"/>
    <w:rsid w:val="00F40806"/>
    <w:rsid w:val="00F41DB8"/>
    <w:rsid w:val="00F4275B"/>
    <w:rsid w:val="00F51943"/>
    <w:rsid w:val="00F52EB5"/>
    <w:rsid w:val="00F56802"/>
    <w:rsid w:val="00F56B59"/>
    <w:rsid w:val="00F56F51"/>
    <w:rsid w:val="00F57CA3"/>
    <w:rsid w:val="00F65412"/>
    <w:rsid w:val="00F65998"/>
    <w:rsid w:val="00F66039"/>
    <w:rsid w:val="00F708FD"/>
    <w:rsid w:val="00F70EE5"/>
    <w:rsid w:val="00F716E7"/>
    <w:rsid w:val="00F75A45"/>
    <w:rsid w:val="00F84E78"/>
    <w:rsid w:val="00F852D1"/>
    <w:rsid w:val="00F87124"/>
    <w:rsid w:val="00F9084E"/>
    <w:rsid w:val="00F92DE0"/>
    <w:rsid w:val="00F9343B"/>
    <w:rsid w:val="00F96F65"/>
    <w:rsid w:val="00F972A2"/>
    <w:rsid w:val="00F9765A"/>
    <w:rsid w:val="00FA0399"/>
    <w:rsid w:val="00FB2503"/>
    <w:rsid w:val="00FB6265"/>
    <w:rsid w:val="00FB63EE"/>
    <w:rsid w:val="00FB7E0B"/>
    <w:rsid w:val="00FC0260"/>
    <w:rsid w:val="00FC4E5C"/>
    <w:rsid w:val="00FD16EA"/>
    <w:rsid w:val="00FD3027"/>
    <w:rsid w:val="00FD4780"/>
    <w:rsid w:val="00FD6464"/>
    <w:rsid w:val="00FD7577"/>
    <w:rsid w:val="00FE1CA1"/>
    <w:rsid w:val="00FE2D2D"/>
    <w:rsid w:val="00FE3590"/>
    <w:rsid w:val="00FE37AB"/>
    <w:rsid w:val="00FE41DE"/>
    <w:rsid w:val="00FE5A68"/>
    <w:rsid w:val="00FE5B53"/>
    <w:rsid w:val="00FE687C"/>
    <w:rsid w:val="00FF0023"/>
    <w:rsid w:val="00FF2798"/>
    <w:rsid w:val="00FF2B6C"/>
    <w:rsid w:val="00FF2BB0"/>
    <w:rsid w:val="00FF2D88"/>
    <w:rsid w:val="00FF3F45"/>
    <w:rsid w:val="00FF70B5"/>
    <w:rsid w:val="00FF7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29BB8"/>
  <w15:chartTrackingRefBased/>
  <w15:docId w15:val="{421C7456-0A06-4A15-B536-A5040931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3470EB"/>
    <w:pPr>
      <w:keepNext/>
      <w:keepLines/>
      <w:spacing w:before="240" w:after="0"/>
      <w:outlineLvl w:val="0"/>
    </w:pPr>
    <w:rPr>
      <w:rFonts w:eastAsiaTheme="majorEastAsia" w:cstheme="majorBidi"/>
      <w:b/>
      <w:color w:val="000000" w:themeColor="text1"/>
      <w:sz w:val="24"/>
      <w:szCs w:val="32"/>
    </w:rPr>
  </w:style>
  <w:style w:type="paragraph" w:styleId="Ttulo2">
    <w:name w:val="heading 2"/>
    <w:basedOn w:val="Normal"/>
    <w:next w:val="Normal"/>
    <w:link w:val="Ttulo2Char"/>
    <w:uiPriority w:val="9"/>
    <w:unhideWhenUsed/>
    <w:qFormat/>
    <w:rsid w:val="00095D19"/>
    <w:pPr>
      <w:keepNext/>
      <w:keepLines/>
      <w:spacing w:before="40" w:after="0"/>
      <w:outlineLvl w:val="1"/>
    </w:pPr>
    <w:rPr>
      <w:rFonts w:eastAsiaTheme="majorEastAsia" w:cstheme="majorBidi"/>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D75E3"/>
    <w:pPr>
      <w:tabs>
        <w:tab w:val="center" w:pos="4252"/>
        <w:tab w:val="right" w:pos="8504"/>
      </w:tabs>
    </w:pPr>
  </w:style>
  <w:style w:type="character" w:customStyle="1" w:styleId="CabealhoChar">
    <w:name w:val="Cabeçalho Char"/>
    <w:link w:val="Cabealho"/>
    <w:uiPriority w:val="99"/>
    <w:rsid w:val="00DD75E3"/>
    <w:rPr>
      <w:sz w:val="22"/>
      <w:szCs w:val="22"/>
      <w:lang w:eastAsia="en-US"/>
    </w:rPr>
  </w:style>
  <w:style w:type="paragraph" w:styleId="Rodap">
    <w:name w:val="footer"/>
    <w:basedOn w:val="Normal"/>
    <w:link w:val="RodapChar"/>
    <w:uiPriority w:val="99"/>
    <w:unhideWhenUsed/>
    <w:rsid w:val="00DD75E3"/>
    <w:pPr>
      <w:tabs>
        <w:tab w:val="center" w:pos="4252"/>
        <w:tab w:val="right" w:pos="8504"/>
      </w:tabs>
    </w:pPr>
  </w:style>
  <w:style w:type="character" w:customStyle="1" w:styleId="RodapChar">
    <w:name w:val="Rodapé Char"/>
    <w:link w:val="Rodap"/>
    <w:uiPriority w:val="99"/>
    <w:rsid w:val="00DD75E3"/>
    <w:rPr>
      <w:sz w:val="22"/>
      <w:szCs w:val="22"/>
      <w:lang w:eastAsia="en-US"/>
    </w:rPr>
  </w:style>
  <w:style w:type="paragraph" w:customStyle="1" w:styleId="Bruna1">
    <w:name w:val="Bruna 1"/>
    <w:basedOn w:val="PargrafodaLista"/>
    <w:link w:val="Bruna1Char"/>
    <w:qFormat/>
    <w:rsid w:val="005D03F1"/>
    <w:pPr>
      <w:spacing w:before="240" w:after="0" w:line="480" w:lineRule="auto"/>
      <w:ind w:left="0"/>
    </w:pPr>
    <w:rPr>
      <w:rFonts w:ascii="Arial" w:hAnsi="Arial" w:cs="Arial"/>
      <w:b/>
      <w:smallCaps/>
      <w:sz w:val="28"/>
      <w:szCs w:val="28"/>
    </w:rPr>
  </w:style>
  <w:style w:type="character" w:customStyle="1" w:styleId="Bruna1Char">
    <w:name w:val="Bruna 1 Char"/>
    <w:link w:val="Bruna1"/>
    <w:rsid w:val="005D03F1"/>
    <w:rPr>
      <w:rFonts w:ascii="Arial" w:hAnsi="Arial" w:cs="Arial"/>
      <w:b/>
      <w:smallCaps/>
      <w:sz w:val="28"/>
      <w:szCs w:val="28"/>
      <w:lang w:eastAsia="en-US"/>
    </w:rPr>
  </w:style>
  <w:style w:type="paragraph" w:styleId="PargrafodaLista">
    <w:name w:val="List Paragraph"/>
    <w:basedOn w:val="Normal"/>
    <w:uiPriority w:val="34"/>
    <w:qFormat/>
    <w:rsid w:val="005D03F1"/>
    <w:pPr>
      <w:ind w:left="708"/>
    </w:pPr>
  </w:style>
  <w:style w:type="paragraph" w:styleId="Textodenotaderodap">
    <w:name w:val="footnote text"/>
    <w:basedOn w:val="Normal"/>
    <w:link w:val="TextodenotaderodapChar"/>
    <w:uiPriority w:val="99"/>
    <w:semiHidden/>
    <w:unhideWhenUsed/>
    <w:rsid w:val="008967B6"/>
    <w:rPr>
      <w:sz w:val="20"/>
      <w:szCs w:val="20"/>
    </w:rPr>
  </w:style>
  <w:style w:type="character" w:customStyle="1" w:styleId="TextodenotaderodapChar">
    <w:name w:val="Texto de nota de rodapé Char"/>
    <w:link w:val="Textodenotaderodap"/>
    <w:uiPriority w:val="99"/>
    <w:semiHidden/>
    <w:rsid w:val="008967B6"/>
    <w:rPr>
      <w:lang w:eastAsia="en-US"/>
    </w:rPr>
  </w:style>
  <w:style w:type="character" w:styleId="Refdenotaderodap">
    <w:name w:val="footnote reference"/>
    <w:uiPriority w:val="99"/>
    <w:semiHidden/>
    <w:unhideWhenUsed/>
    <w:rsid w:val="008967B6"/>
    <w:rPr>
      <w:vertAlign w:val="superscript"/>
    </w:rPr>
  </w:style>
  <w:style w:type="character" w:styleId="Hyperlink">
    <w:name w:val="Hyperlink"/>
    <w:uiPriority w:val="99"/>
    <w:unhideWhenUsed/>
    <w:rsid w:val="008967B6"/>
    <w:rPr>
      <w:color w:val="0563C1"/>
      <w:u w:val="single"/>
    </w:rPr>
  </w:style>
  <w:style w:type="character" w:customStyle="1" w:styleId="MenoPendente1">
    <w:name w:val="Menção Pendente1"/>
    <w:uiPriority w:val="99"/>
    <w:semiHidden/>
    <w:unhideWhenUsed/>
    <w:rsid w:val="008967B6"/>
    <w:rPr>
      <w:color w:val="605E5C"/>
      <w:shd w:val="clear" w:color="auto" w:fill="E1DFDD"/>
    </w:rPr>
  </w:style>
  <w:style w:type="character" w:styleId="Refdecomentrio">
    <w:name w:val="annotation reference"/>
    <w:uiPriority w:val="99"/>
    <w:semiHidden/>
    <w:unhideWhenUsed/>
    <w:rsid w:val="002714F2"/>
    <w:rPr>
      <w:sz w:val="16"/>
      <w:szCs w:val="16"/>
    </w:rPr>
  </w:style>
  <w:style w:type="paragraph" w:styleId="Textodecomentrio">
    <w:name w:val="annotation text"/>
    <w:basedOn w:val="Normal"/>
    <w:link w:val="TextodecomentrioChar"/>
    <w:uiPriority w:val="99"/>
    <w:semiHidden/>
    <w:unhideWhenUsed/>
    <w:rsid w:val="002714F2"/>
    <w:rPr>
      <w:sz w:val="20"/>
      <w:szCs w:val="20"/>
    </w:rPr>
  </w:style>
  <w:style w:type="character" w:customStyle="1" w:styleId="TextodecomentrioChar">
    <w:name w:val="Texto de comentário Char"/>
    <w:link w:val="Textodecomentrio"/>
    <w:uiPriority w:val="99"/>
    <w:semiHidden/>
    <w:rsid w:val="002714F2"/>
    <w:rPr>
      <w:lang w:eastAsia="en-US"/>
    </w:rPr>
  </w:style>
  <w:style w:type="paragraph" w:styleId="Assuntodocomentrio">
    <w:name w:val="annotation subject"/>
    <w:basedOn w:val="Textodecomentrio"/>
    <w:next w:val="Textodecomentrio"/>
    <w:link w:val="AssuntodocomentrioChar"/>
    <w:uiPriority w:val="99"/>
    <w:semiHidden/>
    <w:unhideWhenUsed/>
    <w:rsid w:val="002714F2"/>
    <w:rPr>
      <w:b/>
      <w:bCs/>
    </w:rPr>
  </w:style>
  <w:style w:type="character" w:customStyle="1" w:styleId="AssuntodocomentrioChar">
    <w:name w:val="Assunto do comentário Char"/>
    <w:link w:val="Assuntodocomentrio"/>
    <w:uiPriority w:val="99"/>
    <w:semiHidden/>
    <w:rsid w:val="002714F2"/>
    <w:rPr>
      <w:b/>
      <w:bCs/>
      <w:lang w:eastAsia="en-US"/>
    </w:rPr>
  </w:style>
  <w:style w:type="paragraph" w:styleId="Textodebalo">
    <w:name w:val="Balloon Text"/>
    <w:basedOn w:val="Normal"/>
    <w:link w:val="TextodebaloChar"/>
    <w:uiPriority w:val="99"/>
    <w:semiHidden/>
    <w:unhideWhenUsed/>
    <w:rsid w:val="002714F2"/>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2714F2"/>
    <w:rPr>
      <w:rFonts w:ascii="Segoe UI" w:hAnsi="Segoe UI" w:cs="Segoe UI"/>
      <w:sz w:val="18"/>
      <w:szCs w:val="18"/>
      <w:lang w:eastAsia="en-US"/>
    </w:rPr>
  </w:style>
  <w:style w:type="character" w:customStyle="1" w:styleId="Ttulo1Char">
    <w:name w:val="Título 1 Char"/>
    <w:basedOn w:val="Fontepargpadro"/>
    <w:link w:val="Ttulo1"/>
    <w:uiPriority w:val="9"/>
    <w:rsid w:val="003470EB"/>
    <w:rPr>
      <w:rFonts w:eastAsiaTheme="majorEastAsia" w:cstheme="majorBidi"/>
      <w:b/>
      <w:color w:val="000000" w:themeColor="text1"/>
      <w:sz w:val="24"/>
      <w:szCs w:val="32"/>
      <w:lang w:eastAsia="en-US"/>
    </w:rPr>
  </w:style>
  <w:style w:type="paragraph" w:customStyle="1" w:styleId="1mf">
    <w:name w:val="_1mf"/>
    <w:basedOn w:val="Normal"/>
    <w:rsid w:val="00905712"/>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semiHidden/>
    <w:unhideWhenUsed/>
    <w:rsid w:val="00905712"/>
    <w:pPr>
      <w:spacing w:before="100" w:beforeAutospacing="1" w:after="100" w:afterAutospacing="1" w:line="240" w:lineRule="auto"/>
    </w:pPr>
    <w:rPr>
      <w:rFonts w:ascii="Times New Roman" w:eastAsia="Times New Roman" w:hAnsi="Times New Roman"/>
      <w:sz w:val="24"/>
      <w:szCs w:val="24"/>
      <w:lang w:eastAsia="pt-BR"/>
    </w:rPr>
  </w:style>
  <w:style w:type="paragraph" w:styleId="Legenda">
    <w:name w:val="caption"/>
    <w:aliases w:val="Abimo-Legenda"/>
    <w:basedOn w:val="Normal"/>
    <w:next w:val="Normal"/>
    <w:autoRedefine/>
    <w:uiPriority w:val="35"/>
    <w:unhideWhenUsed/>
    <w:qFormat/>
    <w:rsid w:val="00950810"/>
    <w:pPr>
      <w:keepNext/>
      <w:spacing w:before="120" w:after="200" w:line="240" w:lineRule="auto"/>
      <w:jc w:val="center"/>
    </w:pPr>
    <w:rPr>
      <w:rFonts w:ascii="Bookman Old Style" w:eastAsiaTheme="minorHAnsi" w:hAnsi="Bookman Old Style"/>
      <w:b/>
      <w:iCs/>
      <w:color w:val="000000" w:themeColor="text1"/>
      <w:sz w:val="20"/>
      <w:szCs w:val="18"/>
    </w:rPr>
  </w:style>
  <w:style w:type="paragraph" w:styleId="CabealhodoSumrio">
    <w:name w:val="TOC Heading"/>
    <w:basedOn w:val="Ttulo1"/>
    <w:next w:val="Normal"/>
    <w:uiPriority w:val="39"/>
    <w:unhideWhenUsed/>
    <w:qFormat/>
    <w:rsid w:val="00246D19"/>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246D19"/>
    <w:pPr>
      <w:tabs>
        <w:tab w:val="left" w:pos="440"/>
        <w:tab w:val="right" w:leader="dot" w:pos="8494"/>
      </w:tabs>
      <w:spacing w:after="100"/>
      <w:jc w:val="center"/>
    </w:pPr>
  </w:style>
  <w:style w:type="paragraph" w:styleId="SemEspaamento">
    <w:name w:val="No Spacing"/>
    <w:link w:val="SemEspaamentoChar"/>
    <w:uiPriority w:val="1"/>
    <w:qFormat/>
    <w:rsid w:val="00EA6D10"/>
    <w:rPr>
      <w:sz w:val="22"/>
      <w:szCs w:val="22"/>
      <w:lang w:eastAsia="en-US"/>
    </w:rPr>
  </w:style>
  <w:style w:type="character" w:customStyle="1" w:styleId="Ttulo2Char">
    <w:name w:val="Título 2 Char"/>
    <w:basedOn w:val="Fontepargpadro"/>
    <w:link w:val="Ttulo2"/>
    <w:uiPriority w:val="9"/>
    <w:rsid w:val="00095D19"/>
    <w:rPr>
      <w:rFonts w:eastAsiaTheme="majorEastAsia" w:cstheme="majorBidi"/>
      <w:sz w:val="24"/>
      <w:szCs w:val="26"/>
      <w:lang w:eastAsia="en-US"/>
    </w:rPr>
  </w:style>
  <w:style w:type="paragraph" w:styleId="Sumrio2">
    <w:name w:val="toc 2"/>
    <w:basedOn w:val="Normal"/>
    <w:next w:val="Normal"/>
    <w:autoRedefine/>
    <w:uiPriority w:val="39"/>
    <w:unhideWhenUsed/>
    <w:rsid w:val="007B364F"/>
    <w:pPr>
      <w:spacing w:after="100"/>
      <w:ind w:left="220"/>
    </w:pPr>
  </w:style>
  <w:style w:type="paragraph" w:styleId="Reviso">
    <w:name w:val="Revision"/>
    <w:hidden/>
    <w:uiPriority w:val="99"/>
    <w:semiHidden/>
    <w:rsid w:val="005E27F7"/>
    <w:rPr>
      <w:sz w:val="22"/>
      <w:szCs w:val="22"/>
      <w:lang w:eastAsia="en-US"/>
    </w:rPr>
  </w:style>
  <w:style w:type="paragraph" w:customStyle="1" w:styleId="Default">
    <w:name w:val="Default"/>
    <w:rsid w:val="00556711"/>
    <w:pPr>
      <w:autoSpaceDE w:val="0"/>
      <w:autoSpaceDN w:val="0"/>
      <w:adjustRightInd w:val="0"/>
    </w:pPr>
    <w:rPr>
      <w:rFonts w:eastAsiaTheme="minorHAnsi" w:cs="Calibri"/>
      <w:color w:val="000000"/>
      <w:sz w:val="24"/>
      <w:szCs w:val="24"/>
      <w:lang w:eastAsia="en-US"/>
    </w:rPr>
  </w:style>
  <w:style w:type="character" w:styleId="Forte">
    <w:name w:val="Strong"/>
    <w:basedOn w:val="Fontepargpadro"/>
    <w:uiPriority w:val="22"/>
    <w:qFormat/>
    <w:rsid w:val="00556711"/>
    <w:rPr>
      <w:b/>
      <w:bCs/>
    </w:rPr>
  </w:style>
  <w:style w:type="table" w:styleId="Tabelacomgrade">
    <w:name w:val="Table Grid"/>
    <w:basedOn w:val="Tabelanormal"/>
    <w:uiPriority w:val="39"/>
    <w:rsid w:val="005B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6">
    <w:name w:val="Grid Table 5 Dark Accent 6"/>
    <w:basedOn w:val="Tabelanormal"/>
    <w:uiPriority w:val="50"/>
    <w:rsid w:val="005B17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nfase1">
    <w:name w:val="Grid Table 6 Colorful Accent 1"/>
    <w:basedOn w:val="Tabelanormal"/>
    <w:uiPriority w:val="51"/>
    <w:rsid w:val="005B17C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6Colorida">
    <w:name w:val="Grid Table 6 Colorful"/>
    <w:basedOn w:val="Tabelanormal"/>
    <w:uiPriority w:val="51"/>
    <w:rsid w:val="00AC3D2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ou-paragraph">
    <w:name w:val="dou-paragraph"/>
    <w:basedOn w:val="Normal"/>
    <w:rsid w:val="00DF630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emEspaamentoChar">
    <w:name w:val="Sem Espaçamento Char"/>
    <w:link w:val="SemEspaamento"/>
    <w:uiPriority w:val="1"/>
    <w:rsid w:val="00A357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223">
      <w:bodyDiv w:val="1"/>
      <w:marLeft w:val="0"/>
      <w:marRight w:val="0"/>
      <w:marTop w:val="0"/>
      <w:marBottom w:val="0"/>
      <w:divBdr>
        <w:top w:val="none" w:sz="0" w:space="0" w:color="auto"/>
        <w:left w:val="none" w:sz="0" w:space="0" w:color="auto"/>
        <w:bottom w:val="none" w:sz="0" w:space="0" w:color="auto"/>
        <w:right w:val="none" w:sz="0" w:space="0" w:color="auto"/>
      </w:divBdr>
    </w:div>
    <w:div w:id="19818895">
      <w:bodyDiv w:val="1"/>
      <w:marLeft w:val="0"/>
      <w:marRight w:val="0"/>
      <w:marTop w:val="0"/>
      <w:marBottom w:val="0"/>
      <w:divBdr>
        <w:top w:val="none" w:sz="0" w:space="0" w:color="auto"/>
        <w:left w:val="none" w:sz="0" w:space="0" w:color="auto"/>
        <w:bottom w:val="none" w:sz="0" w:space="0" w:color="auto"/>
        <w:right w:val="none" w:sz="0" w:space="0" w:color="auto"/>
      </w:divBdr>
    </w:div>
    <w:div w:id="21057669">
      <w:bodyDiv w:val="1"/>
      <w:marLeft w:val="0"/>
      <w:marRight w:val="0"/>
      <w:marTop w:val="0"/>
      <w:marBottom w:val="0"/>
      <w:divBdr>
        <w:top w:val="none" w:sz="0" w:space="0" w:color="auto"/>
        <w:left w:val="none" w:sz="0" w:space="0" w:color="auto"/>
        <w:bottom w:val="none" w:sz="0" w:space="0" w:color="auto"/>
        <w:right w:val="none" w:sz="0" w:space="0" w:color="auto"/>
      </w:divBdr>
    </w:div>
    <w:div w:id="27264149">
      <w:bodyDiv w:val="1"/>
      <w:marLeft w:val="0"/>
      <w:marRight w:val="0"/>
      <w:marTop w:val="0"/>
      <w:marBottom w:val="0"/>
      <w:divBdr>
        <w:top w:val="none" w:sz="0" w:space="0" w:color="auto"/>
        <w:left w:val="none" w:sz="0" w:space="0" w:color="auto"/>
        <w:bottom w:val="none" w:sz="0" w:space="0" w:color="auto"/>
        <w:right w:val="none" w:sz="0" w:space="0" w:color="auto"/>
      </w:divBdr>
    </w:div>
    <w:div w:id="55513796">
      <w:bodyDiv w:val="1"/>
      <w:marLeft w:val="0"/>
      <w:marRight w:val="0"/>
      <w:marTop w:val="0"/>
      <w:marBottom w:val="0"/>
      <w:divBdr>
        <w:top w:val="none" w:sz="0" w:space="0" w:color="auto"/>
        <w:left w:val="none" w:sz="0" w:space="0" w:color="auto"/>
        <w:bottom w:val="none" w:sz="0" w:space="0" w:color="auto"/>
        <w:right w:val="none" w:sz="0" w:space="0" w:color="auto"/>
      </w:divBdr>
    </w:div>
    <w:div w:id="65342698">
      <w:bodyDiv w:val="1"/>
      <w:marLeft w:val="0"/>
      <w:marRight w:val="0"/>
      <w:marTop w:val="0"/>
      <w:marBottom w:val="0"/>
      <w:divBdr>
        <w:top w:val="none" w:sz="0" w:space="0" w:color="auto"/>
        <w:left w:val="none" w:sz="0" w:space="0" w:color="auto"/>
        <w:bottom w:val="none" w:sz="0" w:space="0" w:color="auto"/>
        <w:right w:val="none" w:sz="0" w:space="0" w:color="auto"/>
      </w:divBdr>
    </w:div>
    <w:div w:id="77947165">
      <w:bodyDiv w:val="1"/>
      <w:marLeft w:val="0"/>
      <w:marRight w:val="0"/>
      <w:marTop w:val="0"/>
      <w:marBottom w:val="0"/>
      <w:divBdr>
        <w:top w:val="none" w:sz="0" w:space="0" w:color="auto"/>
        <w:left w:val="none" w:sz="0" w:space="0" w:color="auto"/>
        <w:bottom w:val="none" w:sz="0" w:space="0" w:color="auto"/>
        <w:right w:val="none" w:sz="0" w:space="0" w:color="auto"/>
      </w:divBdr>
    </w:div>
    <w:div w:id="79058776">
      <w:bodyDiv w:val="1"/>
      <w:marLeft w:val="0"/>
      <w:marRight w:val="0"/>
      <w:marTop w:val="0"/>
      <w:marBottom w:val="0"/>
      <w:divBdr>
        <w:top w:val="none" w:sz="0" w:space="0" w:color="auto"/>
        <w:left w:val="none" w:sz="0" w:space="0" w:color="auto"/>
        <w:bottom w:val="none" w:sz="0" w:space="0" w:color="auto"/>
        <w:right w:val="none" w:sz="0" w:space="0" w:color="auto"/>
      </w:divBdr>
    </w:div>
    <w:div w:id="94251602">
      <w:bodyDiv w:val="1"/>
      <w:marLeft w:val="0"/>
      <w:marRight w:val="0"/>
      <w:marTop w:val="0"/>
      <w:marBottom w:val="0"/>
      <w:divBdr>
        <w:top w:val="none" w:sz="0" w:space="0" w:color="auto"/>
        <w:left w:val="none" w:sz="0" w:space="0" w:color="auto"/>
        <w:bottom w:val="none" w:sz="0" w:space="0" w:color="auto"/>
        <w:right w:val="none" w:sz="0" w:space="0" w:color="auto"/>
      </w:divBdr>
    </w:div>
    <w:div w:id="97063808">
      <w:bodyDiv w:val="1"/>
      <w:marLeft w:val="0"/>
      <w:marRight w:val="0"/>
      <w:marTop w:val="0"/>
      <w:marBottom w:val="0"/>
      <w:divBdr>
        <w:top w:val="none" w:sz="0" w:space="0" w:color="auto"/>
        <w:left w:val="none" w:sz="0" w:space="0" w:color="auto"/>
        <w:bottom w:val="none" w:sz="0" w:space="0" w:color="auto"/>
        <w:right w:val="none" w:sz="0" w:space="0" w:color="auto"/>
      </w:divBdr>
    </w:div>
    <w:div w:id="103310842">
      <w:bodyDiv w:val="1"/>
      <w:marLeft w:val="0"/>
      <w:marRight w:val="0"/>
      <w:marTop w:val="0"/>
      <w:marBottom w:val="0"/>
      <w:divBdr>
        <w:top w:val="none" w:sz="0" w:space="0" w:color="auto"/>
        <w:left w:val="none" w:sz="0" w:space="0" w:color="auto"/>
        <w:bottom w:val="none" w:sz="0" w:space="0" w:color="auto"/>
        <w:right w:val="none" w:sz="0" w:space="0" w:color="auto"/>
      </w:divBdr>
    </w:div>
    <w:div w:id="137773880">
      <w:bodyDiv w:val="1"/>
      <w:marLeft w:val="0"/>
      <w:marRight w:val="0"/>
      <w:marTop w:val="0"/>
      <w:marBottom w:val="0"/>
      <w:divBdr>
        <w:top w:val="none" w:sz="0" w:space="0" w:color="auto"/>
        <w:left w:val="none" w:sz="0" w:space="0" w:color="auto"/>
        <w:bottom w:val="none" w:sz="0" w:space="0" w:color="auto"/>
        <w:right w:val="none" w:sz="0" w:space="0" w:color="auto"/>
      </w:divBdr>
    </w:div>
    <w:div w:id="160585520">
      <w:bodyDiv w:val="1"/>
      <w:marLeft w:val="0"/>
      <w:marRight w:val="0"/>
      <w:marTop w:val="0"/>
      <w:marBottom w:val="0"/>
      <w:divBdr>
        <w:top w:val="none" w:sz="0" w:space="0" w:color="auto"/>
        <w:left w:val="none" w:sz="0" w:space="0" w:color="auto"/>
        <w:bottom w:val="none" w:sz="0" w:space="0" w:color="auto"/>
        <w:right w:val="none" w:sz="0" w:space="0" w:color="auto"/>
      </w:divBdr>
    </w:div>
    <w:div w:id="176382485">
      <w:bodyDiv w:val="1"/>
      <w:marLeft w:val="0"/>
      <w:marRight w:val="0"/>
      <w:marTop w:val="0"/>
      <w:marBottom w:val="0"/>
      <w:divBdr>
        <w:top w:val="none" w:sz="0" w:space="0" w:color="auto"/>
        <w:left w:val="none" w:sz="0" w:space="0" w:color="auto"/>
        <w:bottom w:val="none" w:sz="0" w:space="0" w:color="auto"/>
        <w:right w:val="none" w:sz="0" w:space="0" w:color="auto"/>
      </w:divBdr>
    </w:div>
    <w:div w:id="199557360">
      <w:bodyDiv w:val="1"/>
      <w:marLeft w:val="0"/>
      <w:marRight w:val="0"/>
      <w:marTop w:val="0"/>
      <w:marBottom w:val="0"/>
      <w:divBdr>
        <w:top w:val="none" w:sz="0" w:space="0" w:color="auto"/>
        <w:left w:val="none" w:sz="0" w:space="0" w:color="auto"/>
        <w:bottom w:val="none" w:sz="0" w:space="0" w:color="auto"/>
        <w:right w:val="none" w:sz="0" w:space="0" w:color="auto"/>
      </w:divBdr>
      <w:divsChild>
        <w:div w:id="1952012995">
          <w:marLeft w:val="0"/>
          <w:marRight w:val="0"/>
          <w:marTop w:val="0"/>
          <w:marBottom w:val="0"/>
          <w:divBdr>
            <w:top w:val="none" w:sz="0" w:space="0" w:color="auto"/>
            <w:left w:val="none" w:sz="0" w:space="0" w:color="auto"/>
            <w:bottom w:val="none" w:sz="0" w:space="0" w:color="auto"/>
            <w:right w:val="none" w:sz="0" w:space="0" w:color="auto"/>
          </w:divBdr>
        </w:div>
      </w:divsChild>
    </w:div>
    <w:div w:id="203257692">
      <w:bodyDiv w:val="1"/>
      <w:marLeft w:val="0"/>
      <w:marRight w:val="0"/>
      <w:marTop w:val="0"/>
      <w:marBottom w:val="0"/>
      <w:divBdr>
        <w:top w:val="none" w:sz="0" w:space="0" w:color="auto"/>
        <w:left w:val="none" w:sz="0" w:space="0" w:color="auto"/>
        <w:bottom w:val="none" w:sz="0" w:space="0" w:color="auto"/>
        <w:right w:val="none" w:sz="0" w:space="0" w:color="auto"/>
      </w:divBdr>
    </w:div>
    <w:div w:id="291206346">
      <w:bodyDiv w:val="1"/>
      <w:marLeft w:val="0"/>
      <w:marRight w:val="0"/>
      <w:marTop w:val="0"/>
      <w:marBottom w:val="0"/>
      <w:divBdr>
        <w:top w:val="none" w:sz="0" w:space="0" w:color="auto"/>
        <w:left w:val="none" w:sz="0" w:space="0" w:color="auto"/>
        <w:bottom w:val="none" w:sz="0" w:space="0" w:color="auto"/>
        <w:right w:val="none" w:sz="0" w:space="0" w:color="auto"/>
      </w:divBdr>
    </w:div>
    <w:div w:id="398749936">
      <w:bodyDiv w:val="1"/>
      <w:marLeft w:val="0"/>
      <w:marRight w:val="0"/>
      <w:marTop w:val="0"/>
      <w:marBottom w:val="0"/>
      <w:divBdr>
        <w:top w:val="none" w:sz="0" w:space="0" w:color="auto"/>
        <w:left w:val="none" w:sz="0" w:space="0" w:color="auto"/>
        <w:bottom w:val="none" w:sz="0" w:space="0" w:color="auto"/>
        <w:right w:val="none" w:sz="0" w:space="0" w:color="auto"/>
      </w:divBdr>
    </w:div>
    <w:div w:id="423916775">
      <w:bodyDiv w:val="1"/>
      <w:marLeft w:val="0"/>
      <w:marRight w:val="0"/>
      <w:marTop w:val="0"/>
      <w:marBottom w:val="0"/>
      <w:divBdr>
        <w:top w:val="none" w:sz="0" w:space="0" w:color="auto"/>
        <w:left w:val="none" w:sz="0" w:space="0" w:color="auto"/>
        <w:bottom w:val="none" w:sz="0" w:space="0" w:color="auto"/>
        <w:right w:val="none" w:sz="0" w:space="0" w:color="auto"/>
      </w:divBdr>
    </w:div>
    <w:div w:id="469716805">
      <w:bodyDiv w:val="1"/>
      <w:marLeft w:val="0"/>
      <w:marRight w:val="0"/>
      <w:marTop w:val="0"/>
      <w:marBottom w:val="0"/>
      <w:divBdr>
        <w:top w:val="none" w:sz="0" w:space="0" w:color="auto"/>
        <w:left w:val="none" w:sz="0" w:space="0" w:color="auto"/>
        <w:bottom w:val="none" w:sz="0" w:space="0" w:color="auto"/>
        <w:right w:val="none" w:sz="0" w:space="0" w:color="auto"/>
      </w:divBdr>
    </w:div>
    <w:div w:id="519122496">
      <w:bodyDiv w:val="1"/>
      <w:marLeft w:val="0"/>
      <w:marRight w:val="0"/>
      <w:marTop w:val="0"/>
      <w:marBottom w:val="0"/>
      <w:divBdr>
        <w:top w:val="none" w:sz="0" w:space="0" w:color="auto"/>
        <w:left w:val="none" w:sz="0" w:space="0" w:color="auto"/>
        <w:bottom w:val="none" w:sz="0" w:space="0" w:color="auto"/>
        <w:right w:val="none" w:sz="0" w:space="0" w:color="auto"/>
      </w:divBdr>
    </w:div>
    <w:div w:id="553934253">
      <w:bodyDiv w:val="1"/>
      <w:marLeft w:val="0"/>
      <w:marRight w:val="0"/>
      <w:marTop w:val="0"/>
      <w:marBottom w:val="0"/>
      <w:divBdr>
        <w:top w:val="none" w:sz="0" w:space="0" w:color="auto"/>
        <w:left w:val="none" w:sz="0" w:space="0" w:color="auto"/>
        <w:bottom w:val="none" w:sz="0" w:space="0" w:color="auto"/>
        <w:right w:val="none" w:sz="0" w:space="0" w:color="auto"/>
      </w:divBdr>
    </w:div>
    <w:div w:id="559482783">
      <w:bodyDiv w:val="1"/>
      <w:marLeft w:val="0"/>
      <w:marRight w:val="0"/>
      <w:marTop w:val="0"/>
      <w:marBottom w:val="0"/>
      <w:divBdr>
        <w:top w:val="none" w:sz="0" w:space="0" w:color="auto"/>
        <w:left w:val="none" w:sz="0" w:space="0" w:color="auto"/>
        <w:bottom w:val="none" w:sz="0" w:space="0" w:color="auto"/>
        <w:right w:val="none" w:sz="0" w:space="0" w:color="auto"/>
      </w:divBdr>
    </w:div>
    <w:div w:id="594442714">
      <w:bodyDiv w:val="1"/>
      <w:marLeft w:val="0"/>
      <w:marRight w:val="0"/>
      <w:marTop w:val="0"/>
      <w:marBottom w:val="0"/>
      <w:divBdr>
        <w:top w:val="none" w:sz="0" w:space="0" w:color="auto"/>
        <w:left w:val="none" w:sz="0" w:space="0" w:color="auto"/>
        <w:bottom w:val="none" w:sz="0" w:space="0" w:color="auto"/>
        <w:right w:val="none" w:sz="0" w:space="0" w:color="auto"/>
      </w:divBdr>
    </w:div>
    <w:div w:id="614871062">
      <w:bodyDiv w:val="1"/>
      <w:marLeft w:val="0"/>
      <w:marRight w:val="0"/>
      <w:marTop w:val="0"/>
      <w:marBottom w:val="0"/>
      <w:divBdr>
        <w:top w:val="none" w:sz="0" w:space="0" w:color="auto"/>
        <w:left w:val="none" w:sz="0" w:space="0" w:color="auto"/>
        <w:bottom w:val="none" w:sz="0" w:space="0" w:color="auto"/>
        <w:right w:val="none" w:sz="0" w:space="0" w:color="auto"/>
      </w:divBdr>
    </w:div>
    <w:div w:id="629173186">
      <w:bodyDiv w:val="1"/>
      <w:marLeft w:val="0"/>
      <w:marRight w:val="0"/>
      <w:marTop w:val="0"/>
      <w:marBottom w:val="0"/>
      <w:divBdr>
        <w:top w:val="none" w:sz="0" w:space="0" w:color="auto"/>
        <w:left w:val="none" w:sz="0" w:space="0" w:color="auto"/>
        <w:bottom w:val="none" w:sz="0" w:space="0" w:color="auto"/>
        <w:right w:val="none" w:sz="0" w:space="0" w:color="auto"/>
      </w:divBdr>
    </w:div>
    <w:div w:id="675380041">
      <w:bodyDiv w:val="1"/>
      <w:marLeft w:val="0"/>
      <w:marRight w:val="0"/>
      <w:marTop w:val="0"/>
      <w:marBottom w:val="0"/>
      <w:divBdr>
        <w:top w:val="none" w:sz="0" w:space="0" w:color="auto"/>
        <w:left w:val="none" w:sz="0" w:space="0" w:color="auto"/>
        <w:bottom w:val="none" w:sz="0" w:space="0" w:color="auto"/>
        <w:right w:val="none" w:sz="0" w:space="0" w:color="auto"/>
      </w:divBdr>
    </w:div>
    <w:div w:id="718748653">
      <w:bodyDiv w:val="1"/>
      <w:marLeft w:val="0"/>
      <w:marRight w:val="0"/>
      <w:marTop w:val="0"/>
      <w:marBottom w:val="0"/>
      <w:divBdr>
        <w:top w:val="none" w:sz="0" w:space="0" w:color="auto"/>
        <w:left w:val="none" w:sz="0" w:space="0" w:color="auto"/>
        <w:bottom w:val="none" w:sz="0" w:space="0" w:color="auto"/>
        <w:right w:val="none" w:sz="0" w:space="0" w:color="auto"/>
      </w:divBdr>
    </w:div>
    <w:div w:id="763036732">
      <w:bodyDiv w:val="1"/>
      <w:marLeft w:val="0"/>
      <w:marRight w:val="0"/>
      <w:marTop w:val="0"/>
      <w:marBottom w:val="0"/>
      <w:divBdr>
        <w:top w:val="none" w:sz="0" w:space="0" w:color="auto"/>
        <w:left w:val="none" w:sz="0" w:space="0" w:color="auto"/>
        <w:bottom w:val="none" w:sz="0" w:space="0" w:color="auto"/>
        <w:right w:val="none" w:sz="0" w:space="0" w:color="auto"/>
      </w:divBdr>
    </w:div>
    <w:div w:id="765732701">
      <w:bodyDiv w:val="1"/>
      <w:marLeft w:val="0"/>
      <w:marRight w:val="0"/>
      <w:marTop w:val="0"/>
      <w:marBottom w:val="0"/>
      <w:divBdr>
        <w:top w:val="none" w:sz="0" w:space="0" w:color="auto"/>
        <w:left w:val="none" w:sz="0" w:space="0" w:color="auto"/>
        <w:bottom w:val="none" w:sz="0" w:space="0" w:color="auto"/>
        <w:right w:val="none" w:sz="0" w:space="0" w:color="auto"/>
      </w:divBdr>
    </w:div>
    <w:div w:id="809980088">
      <w:bodyDiv w:val="1"/>
      <w:marLeft w:val="0"/>
      <w:marRight w:val="0"/>
      <w:marTop w:val="0"/>
      <w:marBottom w:val="0"/>
      <w:divBdr>
        <w:top w:val="none" w:sz="0" w:space="0" w:color="auto"/>
        <w:left w:val="none" w:sz="0" w:space="0" w:color="auto"/>
        <w:bottom w:val="none" w:sz="0" w:space="0" w:color="auto"/>
        <w:right w:val="none" w:sz="0" w:space="0" w:color="auto"/>
      </w:divBdr>
    </w:div>
    <w:div w:id="819805939">
      <w:bodyDiv w:val="1"/>
      <w:marLeft w:val="0"/>
      <w:marRight w:val="0"/>
      <w:marTop w:val="0"/>
      <w:marBottom w:val="0"/>
      <w:divBdr>
        <w:top w:val="none" w:sz="0" w:space="0" w:color="auto"/>
        <w:left w:val="none" w:sz="0" w:space="0" w:color="auto"/>
        <w:bottom w:val="none" w:sz="0" w:space="0" w:color="auto"/>
        <w:right w:val="none" w:sz="0" w:space="0" w:color="auto"/>
      </w:divBdr>
    </w:div>
    <w:div w:id="852457558">
      <w:bodyDiv w:val="1"/>
      <w:marLeft w:val="0"/>
      <w:marRight w:val="0"/>
      <w:marTop w:val="0"/>
      <w:marBottom w:val="0"/>
      <w:divBdr>
        <w:top w:val="none" w:sz="0" w:space="0" w:color="auto"/>
        <w:left w:val="none" w:sz="0" w:space="0" w:color="auto"/>
        <w:bottom w:val="none" w:sz="0" w:space="0" w:color="auto"/>
        <w:right w:val="none" w:sz="0" w:space="0" w:color="auto"/>
      </w:divBdr>
    </w:div>
    <w:div w:id="901326625">
      <w:bodyDiv w:val="1"/>
      <w:marLeft w:val="0"/>
      <w:marRight w:val="0"/>
      <w:marTop w:val="0"/>
      <w:marBottom w:val="0"/>
      <w:divBdr>
        <w:top w:val="none" w:sz="0" w:space="0" w:color="auto"/>
        <w:left w:val="none" w:sz="0" w:space="0" w:color="auto"/>
        <w:bottom w:val="none" w:sz="0" w:space="0" w:color="auto"/>
        <w:right w:val="none" w:sz="0" w:space="0" w:color="auto"/>
      </w:divBdr>
    </w:div>
    <w:div w:id="907378337">
      <w:bodyDiv w:val="1"/>
      <w:marLeft w:val="0"/>
      <w:marRight w:val="0"/>
      <w:marTop w:val="0"/>
      <w:marBottom w:val="0"/>
      <w:divBdr>
        <w:top w:val="none" w:sz="0" w:space="0" w:color="auto"/>
        <w:left w:val="none" w:sz="0" w:space="0" w:color="auto"/>
        <w:bottom w:val="none" w:sz="0" w:space="0" w:color="auto"/>
        <w:right w:val="none" w:sz="0" w:space="0" w:color="auto"/>
      </w:divBdr>
    </w:div>
    <w:div w:id="911309455">
      <w:bodyDiv w:val="1"/>
      <w:marLeft w:val="0"/>
      <w:marRight w:val="0"/>
      <w:marTop w:val="0"/>
      <w:marBottom w:val="0"/>
      <w:divBdr>
        <w:top w:val="none" w:sz="0" w:space="0" w:color="auto"/>
        <w:left w:val="none" w:sz="0" w:space="0" w:color="auto"/>
        <w:bottom w:val="none" w:sz="0" w:space="0" w:color="auto"/>
        <w:right w:val="none" w:sz="0" w:space="0" w:color="auto"/>
      </w:divBdr>
    </w:div>
    <w:div w:id="950550746">
      <w:bodyDiv w:val="1"/>
      <w:marLeft w:val="0"/>
      <w:marRight w:val="0"/>
      <w:marTop w:val="0"/>
      <w:marBottom w:val="0"/>
      <w:divBdr>
        <w:top w:val="none" w:sz="0" w:space="0" w:color="auto"/>
        <w:left w:val="none" w:sz="0" w:space="0" w:color="auto"/>
        <w:bottom w:val="none" w:sz="0" w:space="0" w:color="auto"/>
        <w:right w:val="none" w:sz="0" w:space="0" w:color="auto"/>
      </w:divBdr>
    </w:div>
    <w:div w:id="985282802">
      <w:bodyDiv w:val="1"/>
      <w:marLeft w:val="0"/>
      <w:marRight w:val="0"/>
      <w:marTop w:val="0"/>
      <w:marBottom w:val="0"/>
      <w:divBdr>
        <w:top w:val="none" w:sz="0" w:space="0" w:color="auto"/>
        <w:left w:val="none" w:sz="0" w:space="0" w:color="auto"/>
        <w:bottom w:val="none" w:sz="0" w:space="0" w:color="auto"/>
        <w:right w:val="none" w:sz="0" w:space="0" w:color="auto"/>
      </w:divBdr>
    </w:div>
    <w:div w:id="992485829">
      <w:bodyDiv w:val="1"/>
      <w:marLeft w:val="0"/>
      <w:marRight w:val="0"/>
      <w:marTop w:val="0"/>
      <w:marBottom w:val="0"/>
      <w:divBdr>
        <w:top w:val="none" w:sz="0" w:space="0" w:color="auto"/>
        <w:left w:val="none" w:sz="0" w:space="0" w:color="auto"/>
        <w:bottom w:val="none" w:sz="0" w:space="0" w:color="auto"/>
        <w:right w:val="none" w:sz="0" w:space="0" w:color="auto"/>
      </w:divBdr>
    </w:div>
    <w:div w:id="1022977149">
      <w:bodyDiv w:val="1"/>
      <w:marLeft w:val="0"/>
      <w:marRight w:val="0"/>
      <w:marTop w:val="0"/>
      <w:marBottom w:val="0"/>
      <w:divBdr>
        <w:top w:val="none" w:sz="0" w:space="0" w:color="auto"/>
        <w:left w:val="none" w:sz="0" w:space="0" w:color="auto"/>
        <w:bottom w:val="none" w:sz="0" w:space="0" w:color="auto"/>
        <w:right w:val="none" w:sz="0" w:space="0" w:color="auto"/>
      </w:divBdr>
    </w:div>
    <w:div w:id="1027875538">
      <w:bodyDiv w:val="1"/>
      <w:marLeft w:val="0"/>
      <w:marRight w:val="0"/>
      <w:marTop w:val="0"/>
      <w:marBottom w:val="0"/>
      <w:divBdr>
        <w:top w:val="none" w:sz="0" w:space="0" w:color="auto"/>
        <w:left w:val="none" w:sz="0" w:space="0" w:color="auto"/>
        <w:bottom w:val="none" w:sz="0" w:space="0" w:color="auto"/>
        <w:right w:val="none" w:sz="0" w:space="0" w:color="auto"/>
      </w:divBdr>
    </w:div>
    <w:div w:id="1132096680">
      <w:bodyDiv w:val="1"/>
      <w:marLeft w:val="0"/>
      <w:marRight w:val="0"/>
      <w:marTop w:val="0"/>
      <w:marBottom w:val="0"/>
      <w:divBdr>
        <w:top w:val="none" w:sz="0" w:space="0" w:color="auto"/>
        <w:left w:val="none" w:sz="0" w:space="0" w:color="auto"/>
        <w:bottom w:val="none" w:sz="0" w:space="0" w:color="auto"/>
        <w:right w:val="none" w:sz="0" w:space="0" w:color="auto"/>
      </w:divBdr>
    </w:div>
    <w:div w:id="1162818307">
      <w:bodyDiv w:val="1"/>
      <w:marLeft w:val="0"/>
      <w:marRight w:val="0"/>
      <w:marTop w:val="0"/>
      <w:marBottom w:val="0"/>
      <w:divBdr>
        <w:top w:val="none" w:sz="0" w:space="0" w:color="auto"/>
        <w:left w:val="none" w:sz="0" w:space="0" w:color="auto"/>
        <w:bottom w:val="none" w:sz="0" w:space="0" w:color="auto"/>
        <w:right w:val="none" w:sz="0" w:space="0" w:color="auto"/>
      </w:divBdr>
    </w:div>
    <w:div w:id="1171409203">
      <w:bodyDiv w:val="1"/>
      <w:marLeft w:val="0"/>
      <w:marRight w:val="0"/>
      <w:marTop w:val="0"/>
      <w:marBottom w:val="0"/>
      <w:divBdr>
        <w:top w:val="none" w:sz="0" w:space="0" w:color="auto"/>
        <w:left w:val="none" w:sz="0" w:space="0" w:color="auto"/>
        <w:bottom w:val="none" w:sz="0" w:space="0" w:color="auto"/>
        <w:right w:val="none" w:sz="0" w:space="0" w:color="auto"/>
      </w:divBdr>
    </w:div>
    <w:div w:id="1183591956">
      <w:bodyDiv w:val="1"/>
      <w:marLeft w:val="0"/>
      <w:marRight w:val="0"/>
      <w:marTop w:val="0"/>
      <w:marBottom w:val="0"/>
      <w:divBdr>
        <w:top w:val="none" w:sz="0" w:space="0" w:color="auto"/>
        <w:left w:val="none" w:sz="0" w:space="0" w:color="auto"/>
        <w:bottom w:val="none" w:sz="0" w:space="0" w:color="auto"/>
        <w:right w:val="none" w:sz="0" w:space="0" w:color="auto"/>
      </w:divBdr>
    </w:div>
    <w:div w:id="1209756209">
      <w:bodyDiv w:val="1"/>
      <w:marLeft w:val="0"/>
      <w:marRight w:val="0"/>
      <w:marTop w:val="0"/>
      <w:marBottom w:val="0"/>
      <w:divBdr>
        <w:top w:val="none" w:sz="0" w:space="0" w:color="auto"/>
        <w:left w:val="none" w:sz="0" w:space="0" w:color="auto"/>
        <w:bottom w:val="none" w:sz="0" w:space="0" w:color="auto"/>
        <w:right w:val="none" w:sz="0" w:space="0" w:color="auto"/>
      </w:divBdr>
    </w:div>
    <w:div w:id="1288319195">
      <w:bodyDiv w:val="1"/>
      <w:marLeft w:val="0"/>
      <w:marRight w:val="0"/>
      <w:marTop w:val="0"/>
      <w:marBottom w:val="0"/>
      <w:divBdr>
        <w:top w:val="none" w:sz="0" w:space="0" w:color="auto"/>
        <w:left w:val="none" w:sz="0" w:space="0" w:color="auto"/>
        <w:bottom w:val="none" w:sz="0" w:space="0" w:color="auto"/>
        <w:right w:val="none" w:sz="0" w:space="0" w:color="auto"/>
      </w:divBdr>
    </w:div>
    <w:div w:id="1293705767">
      <w:bodyDiv w:val="1"/>
      <w:marLeft w:val="0"/>
      <w:marRight w:val="0"/>
      <w:marTop w:val="0"/>
      <w:marBottom w:val="0"/>
      <w:divBdr>
        <w:top w:val="none" w:sz="0" w:space="0" w:color="auto"/>
        <w:left w:val="none" w:sz="0" w:space="0" w:color="auto"/>
        <w:bottom w:val="none" w:sz="0" w:space="0" w:color="auto"/>
        <w:right w:val="none" w:sz="0" w:space="0" w:color="auto"/>
      </w:divBdr>
    </w:div>
    <w:div w:id="1298268334">
      <w:bodyDiv w:val="1"/>
      <w:marLeft w:val="0"/>
      <w:marRight w:val="0"/>
      <w:marTop w:val="0"/>
      <w:marBottom w:val="0"/>
      <w:divBdr>
        <w:top w:val="none" w:sz="0" w:space="0" w:color="auto"/>
        <w:left w:val="none" w:sz="0" w:space="0" w:color="auto"/>
        <w:bottom w:val="none" w:sz="0" w:space="0" w:color="auto"/>
        <w:right w:val="none" w:sz="0" w:space="0" w:color="auto"/>
      </w:divBdr>
    </w:div>
    <w:div w:id="1320110642">
      <w:bodyDiv w:val="1"/>
      <w:marLeft w:val="0"/>
      <w:marRight w:val="0"/>
      <w:marTop w:val="0"/>
      <w:marBottom w:val="0"/>
      <w:divBdr>
        <w:top w:val="none" w:sz="0" w:space="0" w:color="auto"/>
        <w:left w:val="none" w:sz="0" w:space="0" w:color="auto"/>
        <w:bottom w:val="none" w:sz="0" w:space="0" w:color="auto"/>
        <w:right w:val="none" w:sz="0" w:space="0" w:color="auto"/>
      </w:divBdr>
    </w:div>
    <w:div w:id="1411659980">
      <w:bodyDiv w:val="1"/>
      <w:marLeft w:val="0"/>
      <w:marRight w:val="0"/>
      <w:marTop w:val="0"/>
      <w:marBottom w:val="0"/>
      <w:divBdr>
        <w:top w:val="none" w:sz="0" w:space="0" w:color="auto"/>
        <w:left w:val="none" w:sz="0" w:space="0" w:color="auto"/>
        <w:bottom w:val="none" w:sz="0" w:space="0" w:color="auto"/>
        <w:right w:val="none" w:sz="0" w:space="0" w:color="auto"/>
      </w:divBdr>
    </w:div>
    <w:div w:id="1439257740">
      <w:bodyDiv w:val="1"/>
      <w:marLeft w:val="0"/>
      <w:marRight w:val="0"/>
      <w:marTop w:val="0"/>
      <w:marBottom w:val="0"/>
      <w:divBdr>
        <w:top w:val="none" w:sz="0" w:space="0" w:color="auto"/>
        <w:left w:val="none" w:sz="0" w:space="0" w:color="auto"/>
        <w:bottom w:val="none" w:sz="0" w:space="0" w:color="auto"/>
        <w:right w:val="none" w:sz="0" w:space="0" w:color="auto"/>
      </w:divBdr>
    </w:div>
    <w:div w:id="1449620935">
      <w:bodyDiv w:val="1"/>
      <w:marLeft w:val="0"/>
      <w:marRight w:val="0"/>
      <w:marTop w:val="0"/>
      <w:marBottom w:val="0"/>
      <w:divBdr>
        <w:top w:val="none" w:sz="0" w:space="0" w:color="auto"/>
        <w:left w:val="none" w:sz="0" w:space="0" w:color="auto"/>
        <w:bottom w:val="none" w:sz="0" w:space="0" w:color="auto"/>
        <w:right w:val="none" w:sz="0" w:space="0" w:color="auto"/>
      </w:divBdr>
    </w:div>
    <w:div w:id="1456947285">
      <w:bodyDiv w:val="1"/>
      <w:marLeft w:val="0"/>
      <w:marRight w:val="0"/>
      <w:marTop w:val="0"/>
      <w:marBottom w:val="0"/>
      <w:divBdr>
        <w:top w:val="none" w:sz="0" w:space="0" w:color="auto"/>
        <w:left w:val="none" w:sz="0" w:space="0" w:color="auto"/>
        <w:bottom w:val="none" w:sz="0" w:space="0" w:color="auto"/>
        <w:right w:val="none" w:sz="0" w:space="0" w:color="auto"/>
      </w:divBdr>
    </w:div>
    <w:div w:id="1635603016">
      <w:bodyDiv w:val="1"/>
      <w:marLeft w:val="0"/>
      <w:marRight w:val="0"/>
      <w:marTop w:val="0"/>
      <w:marBottom w:val="0"/>
      <w:divBdr>
        <w:top w:val="none" w:sz="0" w:space="0" w:color="auto"/>
        <w:left w:val="none" w:sz="0" w:space="0" w:color="auto"/>
        <w:bottom w:val="none" w:sz="0" w:space="0" w:color="auto"/>
        <w:right w:val="none" w:sz="0" w:space="0" w:color="auto"/>
      </w:divBdr>
    </w:div>
    <w:div w:id="1768426054">
      <w:bodyDiv w:val="1"/>
      <w:marLeft w:val="0"/>
      <w:marRight w:val="0"/>
      <w:marTop w:val="0"/>
      <w:marBottom w:val="0"/>
      <w:divBdr>
        <w:top w:val="none" w:sz="0" w:space="0" w:color="auto"/>
        <w:left w:val="none" w:sz="0" w:space="0" w:color="auto"/>
        <w:bottom w:val="none" w:sz="0" w:space="0" w:color="auto"/>
        <w:right w:val="none" w:sz="0" w:space="0" w:color="auto"/>
      </w:divBdr>
    </w:div>
    <w:div w:id="1817064871">
      <w:bodyDiv w:val="1"/>
      <w:marLeft w:val="0"/>
      <w:marRight w:val="0"/>
      <w:marTop w:val="0"/>
      <w:marBottom w:val="0"/>
      <w:divBdr>
        <w:top w:val="none" w:sz="0" w:space="0" w:color="auto"/>
        <w:left w:val="none" w:sz="0" w:space="0" w:color="auto"/>
        <w:bottom w:val="none" w:sz="0" w:space="0" w:color="auto"/>
        <w:right w:val="none" w:sz="0" w:space="0" w:color="auto"/>
      </w:divBdr>
    </w:div>
    <w:div w:id="1826895611">
      <w:bodyDiv w:val="1"/>
      <w:marLeft w:val="0"/>
      <w:marRight w:val="0"/>
      <w:marTop w:val="0"/>
      <w:marBottom w:val="0"/>
      <w:divBdr>
        <w:top w:val="none" w:sz="0" w:space="0" w:color="auto"/>
        <w:left w:val="none" w:sz="0" w:space="0" w:color="auto"/>
        <w:bottom w:val="none" w:sz="0" w:space="0" w:color="auto"/>
        <w:right w:val="none" w:sz="0" w:space="0" w:color="auto"/>
      </w:divBdr>
    </w:div>
    <w:div w:id="1857184994">
      <w:bodyDiv w:val="1"/>
      <w:marLeft w:val="0"/>
      <w:marRight w:val="0"/>
      <w:marTop w:val="0"/>
      <w:marBottom w:val="0"/>
      <w:divBdr>
        <w:top w:val="none" w:sz="0" w:space="0" w:color="auto"/>
        <w:left w:val="none" w:sz="0" w:space="0" w:color="auto"/>
        <w:bottom w:val="none" w:sz="0" w:space="0" w:color="auto"/>
        <w:right w:val="none" w:sz="0" w:space="0" w:color="auto"/>
      </w:divBdr>
    </w:div>
    <w:div w:id="1991328861">
      <w:marLeft w:val="0"/>
      <w:marRight w:val="0"/>
      <w:marTop w:val="0"/>
      <w:marBottom w:val="0"/>
      <w:divBdr>
        <w:top w:val="none" w:sz="0" w:space="0" w:color="auto"/>
        <w:left w:val="none" w:sz="0" w:space="0" w:color="auto"/>
        <w:bottom w:val="none" w:sz="0" w:space="0" w:color="auto"/>
        <w:right w:val="none" w:sz="0" w:space="0" w:color="auto"/>
      </w:divBdr>
    </w:div>
    <w:div w:id="2000958241">
      <w:bodyDiv w:val="1"/>
      <w:marLeft w:val="0"/>
      <w:marRight w:val="0"/>
      <w:marTop w:val="0"/>
      <w:marBottom w:val="0"/>
      <w:divBdr>
        <w:top w:val="none" w:sz="0" w:space="0" w:color="auto"/>
        <w:left w:val="none" w:sz="0" w:space="0" w:color="auto"/>
        <w:bottom w:val="none" w:sz="0" w:space="0" w:color="auto"/>
        <w:right w:val="none" w:sz="0" w:space="0" w:color="auto"/>
      </w:divBdr>
    </w:div>
    <w:div w:id="2027631348">
      <w:bodyDiv w:val="1"/>
      <w:marLeft w:val="0"/>
      <w:marRight w:val="0"/>
      <w:marTop w:val="0"/>
      <w:marBottom w:val="0"/>
      <w:divBdr>
        <w:top w:val="none" w:sz="0" w:space="0" w:color="auto"/>
        <w:left w:val="none" w:sz="0" w:space="0" w:color="auto"/>
        <w:bottom w:val="none" w:sz="0" w:space="0" w:color="auto"/>
        <w:right w:val="none" w:sz="0" w:space="0" w:color="auto"/>
      </w:divBdr>
    </w:div>
    <w:div w:id="2091269431">
      <w:bodyDiv w:val="1"/>
      <w:marLeft w:val="0"/>
      <w:marRight w:val="0"/>
      <w:marTop w:val="0"/>
      <w:marBottom w:val="0"/>
      <w:divBdr>
        <w:top w:val="none" w:sz="0" w:space="0" w:color="auto"/>
        <w:left w:val="none" w:sz="0" w:space="0" w:color="auto"/>
        <w:bottom w:val="none" w:sz="0" w:space="0" w:color="auto"/>
        <w:right w:val="none" w:sz="0" w:space="0" w:color="auto"/>
      </w:divBdr>
    </w:div>
    <w:div w:id="2108768633">
      <w:bodyDiv w:val="1"/>
      <w:marLeft w:val="0"/>
      <w:marRight w:val="0"/>
      <w:marTop w:val="0"/>
      <w:marBottom w:val="0"/>
      <w:divBdr>
        <w:top w:val="none" w:sz="0" w:space="0" w:color="auto"/>
        <w:left w:val="none" w:sz="0" w:space="0" w:color="auto"/>
        <w:bottom w:val="none" w:sz="0" w:space="0" w:color="auto"/>
        <w:right w:val="none" w:sz="0" w:space="0" w:color="auto"/>
      </w:divBdr>
    </w:div>
    <w:div w:id="2118940166">
      <w:bodyDiv w:val="1"/>
      <w:marLeft w:val="0"/>
      <w:marRight w:val="0"/>
      <w:marTop w:val="0"/>
      <w:marBottom w:val="0"/>
      <w:divBdr>
        <w:top w:val="none" w:sz="0" w:space="0" w:color="auto"/>
        <w:left w:val="none" w:sz="0" w:space="0" w:color="auto"/>
        <w:bottom w:val="none" w:sz="0" w:space="0" w:color="auto"/>
        <w:right w:val="none" w:sz="0" w:space="0" w:color="auto"/>
      </w:divBdr>
    </w:div>
    <w:div w:id="21189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mailto:institutoprevidenciagjtprevi@gmail.com" TargetMode="External"/><Relationship Id="rId1" Type="http://schemas.openxmlformats.org/officeDocument/2006/relationships/hyperlink" Target="http://www.gjtprevi.ro.gov.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stitutoprevidenciagjtprevi@gmail.com" TargetMode="External"/><Relationship Id="rId1" Type="http://schemas.openxmlformats.org/officeDocument/2006/relationships/hyperlink" Target="http://www.gjtprevi.r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nvern\Dropbox\Conjuntura\Ambima_PERMANENTE%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vern\Dropbox\Conjuntura\Ambima_PERMANENTE%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nvern\Dropbox\Conjuntura\Ambima_PERMANENTE%202023.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nvern\Dropbox\Conjuntura\Ambima_PERMANENTE%202023.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vern\Dropbox\Conjuntura\Ambima_PERMANENTE%20202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a:t>IPCA </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pt-BR"/>
        </a:p>
      </c:txPr>
    </c:title>
    <c:autoTitleDeleted val="0"/>
    <c:plotArea>
      <c:layout/>
      <c:lineChart>
        <c:grouping val="standard"/>
        <c:varyColors val="0"/>
        <c:ser>
          <c:idx val="0"/>
          <c:order val="0"/>
          <c:tx>
            <c:strRef>
              <c:f>FOCUS!$B$1</c:f>
              <c:strCache>
                <c:ptCount val="1"/>
                <c:pt idx="0">
                  <c:v>IPCA (HOJE)</c:v>
                </c:pt>
              </c:strCache>
            </c:strRef>
          </c:tx>
          <c:spPr>
            <a:ln w="28575" cap="rnd">
              <a:solidFill>
                <a:srgbClr val="FF0000"/>
              </a:solidFill>
              <a:round/>
            </a:ln>
            <a:effectLst/>
          </c:spPr>
          <c:marker>
            <c:symbol val="none"/>
          </c:marker>
          <c:trendline>
            <c:spPr>
              <a:ln w="22225" cap="rnd">
                <a:solidFill>
                  <a:srgbClr val="0070C0"/>
                </a:solidFill>
                <a:prstDash val="dash"/>
              </a:ln>
              <a:effectLst/>
            </c:spPr>
            <c:trendlineType val="poly"/>
            <c:order val="6"/>
            <c:forward val="1"/>
            <c:dispRSqr val="1"/>
            <c:dispEq val="0"/>
            <c:trendlineLbl>
              <c:layout>
                <c:manualLayout>
                  <c:x val="-7.9636529808773907E-2"/>
                  <c:y val="-0.51029652275131887"/>
                </c:manualLayout>
              </c:layout>
              <c:numFmt formatCode="General" sourceLinked="0"/>
              <c:spPr>
                <a:noFill/>
                <a:ln>
                  <a:solidFill>
                    <a:srgbClr val="FF0000"/>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trendlineLbl>
          </c:trendline>
          <c:val>
            <c:numRef>
              <c:f>FOCUS!$B$2:$B$144</c:f>
              <c:numCache>
                <c:formatCode>0.00</c:formatCode>
                <c:ptCount val="143"/>
                <c:pt idx="0">
                  <c:v>3.34</c:v>
                </c:pt>
                <c:pt idx="1">
                  <c:v>3.43</c:v>
                </c:pt>
                <c:pt idx="2">
                  <c:v>3.5</c:v>
                </c:pt>
                <c:pt idx="3">
                  <c:v>3.53</c:v>
                </c:pt>
                <c:pt idx="4">
                  <c:v>3.6</c:v>
                </c:pt>
                <c:pt idx="5">
                  <c:v>3.62</c:v>
                </c:pt>
                <c:pt idx="6">
                  <c:v>3.82</c:v>
                </c:pt>
                <c:pt idx="7">
                  <c:v>3.87</c:v>
                </c:pt>
                <c:pt idx="8">
                  <c:v>3.98</c:v>
                </c:pt>
                <c:pt idx="9">
                  <c:v>4.5999999999999996</c:v>
                </c:pt>
                <c:pt idx="10">
                  <c:v>4.71</c:v>
                </c:pt>
                <c:pt idx="11">
                  <c:v>4.8099999999999996</c:v>
                </c:pt>
                <c:pt idx="12">
                  <c:v>4.8099999999999996</c:v>
                </c:pt>
                <c:pt idx="13">
                  <c:v>4.8499999999999996</c:v>
                </c:pt>
                <c:pt idx="14">
                  <c:v>4.92</c:v>
                </c:pt>
                <c:pt idx="15">
                  <c:v>5.01</c:v>
                </c:pt>
                <c:pt idx="16">
                  <c:v>5.04</c:v>
                </c:pt>
                <c:pt idx="17">
                  <c:v>5.0599999999999996</c:v>
                </c:pt>
                <c:pt idx="18">
                  <c:v>5.15</c:v>
                </c:pt>
                <c:pt idx="19">
                  <c:v>5.24</c:v>
                </c:pt>
                <c:pt idx="20">
                  <c:v>5.31</c:v>
                </c:pt>
                <c:pt idx="21">
                  <c:v>5.44</c:v>
                </c:pt>
                <c:pt idx="22">
                  <c:v>5.82</c:v>
                </c:pt>
                <c:pt idx="23">
                  <c:v>5.9</c:v>
                </c:pt>
                <c:pt idx="24">
                  <c:v>5.97</c:v>
                </c:pt>
                <c:pt idx="25">
                  <c:v>6.07</c:v>
                </c:pt>
                <c:pt idx="26">
                  <c:v>6.11</c:v>
                </c:pt>
                <c:pt idx="27">
                  <c:v>6.31</c:v>
                </c:pt>
                <c:pt idx="28">
                  <c:v>6.56</c:v>
                </c:pt>
                <c:pt idx="29">
                  <c:v>6.79</c:v>
                </c:pt>
                <c:pt idx="30">
                  <c:v>6.88</c:v>
                </c:pt>
                <c:pt idx="31">
                  <c:v>7.05</c:v>
                </c:pt>
                <c:pt idx="32">
                  <c:v>7.11</c:v>
                </c:pt>
                <c:pt idx="33">
                  <c:v>7.27</c:v>
                </c:pt>
                <c:pt idx="34">
                  <c:v>7.58</c:v>
                </c:pt>
                <c:pt idx="35">
                  <c:v>8</c:v>
                </c:pt>
                <c:pt idx="36">
                  <c:v>8.35</c:v>
                </c:pt>
                <c:pt idx="37">
                  <c:v>8.4499999999999993</c:v>
                </c:pt>
                <c:pt idx="38">
                  <c:v>8.51</c:v>
                </c:pt>
                <c:pt idx="39">
                  <c:v>8.59</c:v>
                </c:pt>
                <c:pt idx="40">
                  <c:v>8.69</c:v>
                </c:pt>
                <c:pt idx="41">
                  <c:v>8.9600000000000009</c:v>
                </c:pt>
                <c:pt idx="42">
                  <c:v>9.17</c:v>
                </c:pt>
                <c:pt idx="43">
                  <c:v>9.33</c:v>
                </c:pt>
                <c:pt idx="44">
                  <c:v>9.77</c:v>
                </c:pt>
                <c:pt idx="45">
                  <c:v>10.119999999999999</c:v>
                </c:pt>
                <c:pt idx="46">
                  <c:v>10.15</c:v>
                </c:pt>
                <c:pt idx="47">
                  <c:v>10.18</c:v>
                </c:pt>
                <c:pt idx="48">
                  <c:v>10.050000000000001</c:v>
                </c:pt>
                <c:pt idx="49">
                  <c:v>10.039999999999999</c:v>
                </c:pt>
                <c:pt idx="50">
                  <c:v>10.02</c:v>
                </c:pt>
                <c:pt idx="51">
                  <c:v>10.01</c:v>
                </c:pt>
                <c:pt idx="52">
                  <c:v>5.03</c:v>
                </c:pt>
                <c:pt idx="53">
                  <c:v>5.09</c:v>
                </c:pt>
                <c:pt idx="54">
                  <c:v>5.15</c:v>
                </c:pt>
                <c:pt idx="55">
                  <c:v>5.38</c:v>
                </c:pt>
                <c:pt idx="56">
                  <c:v>5.44</c:v>
                </c:pt>
                <c:pt idx="57">
                  <c:v>5.5</c:v>
                </c:pt>
                <c:pt idx="58">
                  <c:v>5.56</c:v>
                </c:pt>
                <c:pt idx="59">
                  <c:v>5.6</c:v>
                </c:pt>
                <c:pt idx="60">
                  <c:v>5.65</c:v>
                </c:pt>
                <c:pt idx="61">
                  <c:v>6.45</c:v>
                </c:pt>
                <c:pt idx="62">
                  <c:v>6.59</c:v>
                </c:pt>
                <c:pt idx="63">
                  <c:v>6.86</c:v>
                </c:pt>
                <c:pt idx="64">
                  <c:v>6.97</c:v>
                </c:pt>
                <c:pt idx="65">
                  <c:v>7.46</c:v>
                </c:pt>
                <c:pt idx="66">
                  <c:v>7.65</c:v>
                </c:pt>
                <c:pt idx="67">
                  <c:v>7.89</c:v>
                </c:pt>
                <c:pt idx="68">
                  <c:v>8.02</c:v>
                </c:pt>
                <c:pt idx="69">
                  <c:v>8.33</c:v>
                </c:pt>
                <c:pt idx="70">
                  <c:v>8.6300000000000008</c:v>
                </c:pt>
                <c:pt idx="71">
                  <c:v>8.73</c:v>
                </c:pt>
                <c:pt idx="72">
                  <c:v>8.89</c:v>
                </c:pt>
                <c:pt idx="73">
                  <c:v>8.5</c:v>
                </c:pt>
                <c:pt idx="74">
                  <c:v>8.27</c:v>
                </c:pt>
                <c:pt idx="75">
                  <c:v>8.27</c:v>
                </c:pt>
                <c:pt idx="76">
                  <c:v>7.96</c:v>
                </c:pt>
                <c:pt idx="77">
                  <c:v>7.67</c:v>
                </c:pt>
                <c:pt idx="78">
                  <c:v>7.54</c:v>
                </c:pt>
                <c:pt idx="79">
                  <c:v>7.3</c:v>
                </c:pt>
                <c:pt idx="80">
                  <c:v>7.15</c:v>
                </c:pt>
                <c:pt idx="81">
                  <c:v>7.11</c:v>
                </c:pt>
                <c:pt idx="82">
                  <c:v>7.02</c:v>
                </c:pt>
                <c:pt idx="83">
                  <c:v>6.82</c:v>
                </c:pt>
                <c:pt idx="84">
                  <c:v>6.7</c:v>
                </c:pt>
                <c:pt idx="85">
                  <c:v>6.61</c:v>
                </c:pt>
                <c:pt idx="86">
                  <c:v>6.4</c:v>
                </c:pt>
                <c:pt idx="87">
                  <c:v>6</c:v>
                </c:pt>
                <c:pt idx="88">
                  <c:v>5.88</c:v>
                </c:pt>
                <c:pt idx="89">
                  <c:v>5.74</c:v>
                </c:pt>
                <c:pt idx="90">
                  <c:v>5.74</c:v>
                </c:pt>
                <c:pt idx="91">
                  <c:v>5.71</c:v>
                </c:pt>
                <c:pt idx="92">
                  <c:v>5.62</c:v>
                </c:pt>
                <c:pt idx="93">
                  <c:v>5.6</c:v>
                </c:pt>
                <c:pt idx="94">
                  <c:v>5.61</c:v>
                </c:pt>
                <c:pt idx="95">
                  <c:v>5.63</c:v>
                </c:pt>
                <c:pt idx="96">
                  <c:v>5.82</c:v>
                </c:pt>
                <c:pt idx="97">
                  <c:v>5.88</c:v>
                </c:pt>
                <c:pt idx="98">
                  <c:v>5.91</c:v>
                </c:pt>
                <c:pt idx="99">
                  <c:v>5.92</c:v>
                </c:pt>
                <c:pt idx="100">
                  <c:v>5.79</c:v>
                </c:pt>
                <c:pt idx="101">
                  <c:v>5.76</c:v>
                </c:pt>
                <c:pt idx="102">
                  <c:v>5.64</c:v>
                </c:pt>
                <c:pt idx="103">
                  <c:v>5.62</c:v>
                </c:pt>
                <c:pt idx="104">
                  <c:v>5.62</c:v>
                </c:pt>
                <c:pt idx="105">
                  <c:v>5.39</c:v>
                </c:pt>
                <c:pt idx="106">
                  <c:v>5.48</c:v>
                </c:pt>
                <c:pt idx="107">
                  <c:v>5.74</c:v>
                </c:pt>
                <c:pt idx="108">
                  <c:v>5.36</c:v>
                </c:pt>
                <c:pt idx="109">
                  <c:v>5.39</c:v>
                </c:pt>
                <c:pt idx="110">
                  <c:v>5.48</c:v>
                </c:pt>
                <c:pt idx="111">
                  <c:v>5.74</c:v>
                </c:pt>
                <c:pt idx="112">
                  <c:v>5.78</c:v>
                </c:pt>
                <c:pt idx="113">
                  <c:v>5.79</c:v>
                </c:pt>
                <c:pt idx="114">
                  <c:v>5.89</c:v>
                </c:pt>
                <c:pt idx="115">
                  <c:v>5.9</c:v>
                </c:pt>
                <c:pt idx="116">
                  <c:v>5.9</c:v>
                </c:pt>
                <c:pt idx="117">
                  <c:v>5.96</c:v>
                </c:pt>
                <c:pt idx="118">
                  <c:v>5.95</c:v>
                </c:pt>
                <c:pt idx="119">
                  <c:v>5.93</c:v>
                </c:pt>
                <c:pt idx="120">
                  <c:v>5.96</c:v>
                </c:pt>
                <c:pt idx="121">
                  <c:v>5.98</c:v>
                </c:pt>
                <c:pt idx="122">
                  <c:v>6.01</c:v>
                </c:pt>
                <c:pt idx="123">
                  <c:v>6.04</c:v>
                </c:pt>
                <c:pt idx="124">
                  <c:v>6.05</c:v>
                </c:pt>
                <c:pt idx="125">
                  <c:v>6.02</c:v>
                </c:pt>
                <c:pt idx="126">
                  <c:v>6.03</c:v>
                </c:pt>
                <c:pt idx="127">
                  <c:v>5.8</c:v>
                </c:pt>
                <c:pt idx="128">
                  <c:v>5.71</c:v>
                </c:pt>
                <c:pt idx="129">
                  <c:v>5.69</c:v>
                </c:pt>
                <c:pt idx="130">
                  <c:v>5.42</c:v>
                </c:pt>
                <c:pt idx="131">
                  <c:v>5.12</c:v>
                </c:pt>
                <c:pt idx="132">
                  <c:v>5.0599999999999996</c:v>
                </c:pt>
                <c:pt idx="133">
                  <c:v>4.9800000000000004</c:v>
                </c:pt>
                <c:pt idx="134">
                  <c:v>4.84</c:v>
                </c:pt>
                <c:pt idx="135">
                  <c:v>4.84</c:v>
                </c:pt>
                <c:pt idx="136">
                  <c:v>4.9000000000000004</c:v>
                </c:pt>
                <c:pt idx="137">
                  <c:v>4.9000000000000004</c:v>
                </c:pt>
                <c:pt idx="138">
                  <c:v>4.92</c:v>
                </c:pt>
                <c:pt idx="139">
                  <c:v>4.93</c:v>
                </c:pt>
                <c:pt idx="140">
                  <c:v>4.8600000000000003</c:v>
                </c:pt>
                <c:pt idx="141">
                  <c:v>4.8600000000000003</c:v>
                </c:pt>
                <c:pt idx="142">
                  <c:v>4.8600000000000003</c:v>
                </c:pt>
              </c:numCache>
            </c:numRef>
          </c:val>
          <c:smooth val="0"/>
          <c:extLst>
            <c:ext xmlns:c16="http://schemas.microsoft.com/office/drawing/2014/chart" uri="{C3380CC4-5D6E-409C-BE32-E72D297353CC}">
              <c16:uniqueId val="{00000001-E8F5-4B17-AFE9-602B11DA3E1B}"/>
            </c:ext>
          </c:extLst>
        </c:ser>
        <c:dLbls>
          <c:showLegendKey val="0"/>
          <c:showVal val="0"/>
          <c:showCatName val="0"/>
          <c:showSerName val="0"/>
          <c:showPercent val="0"/>
          <c:showBubbleSize val="0"/>
        </c:dLbls>
        <c:smooth val="0"/>
        <c:axId val="276816063"/>
        <c:axId val="276816479"/>
      </c:lineChart>
      <c:catAx>
        <c:axId val="2768160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276816479"/>
        <c:crosses val="autoZero"/>
        <c:auto val="1"/>
        <c:lblAlgn val="ctr"/>
        <c:lblOffset val="100"/>
        <c:noMultiLvlLbl val="0"/>
      </c:catAx>
      <c:valAx>
        <c:axId val="27681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2768160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pt-BR"/>
        </a:p>
      </c:txPr>
    </c:title>
    <c:autoTitleDeleted val="0"/>
    <c:plotArea>
      <c:layout/>
      <c:lineChart>
        <c:grouping val="standard"/>
        <c:varyColors val="0"/>
        <c:ser>
          <c:idx val="0"/>
          <c:order val="0"/>
          <c:tx>
            <c:strRef>
              <c:f>FOCUS!$F$1</c:f>
              <c:strCache>
                <c:ptCount val="1"/>
                <c:pt idx="0">
                  <c:v>SELIC</c:v>
                </c:pt>
              </c:strCache>
            </c:strRef>
          </c:tx>
          <c:spPr>
            <a:ln w="28575" cap="rnd">
              <a:solidFill>
                <a:srgbClr val="00B050"/>
              </a:solidFill>
              <a:round/>
            </a:ln>
            <a:effectLst/>
          </c:spPr>
          <c:marker>
            <c:symbol val="none"/>
          </c:marker>
          <c:trendline>
            <c:spPr>
              <a:ln w="22225" cap="rnd">
                <a:solidFill>
                  <a:srgbClr val="0070C0"/>
                </a:solidFill>
                <a:prstDash val="dash"/>
              </a:ln>
              <a:effectLst/>
            </c:spPr>
            <c:trendlineType val="poly"/>
            <c:order val="6"/>
            <c:dispRSqr val="1"/>
            <c:dispEq val="0"/>
            <c:trendlineLbl>
              <c:layout>
                <c:manualLayout>
                  <c:x val="-8.6594490922629955E-2"/>
                  <c:y val="-0.27420542610869392"/>
                </c:manualLayout>
              </c:layout>
              <c:numFmt formatCode="General" sourceLinked="0"/>
              <c:spPr>
                <a:noFill/>
                <a:ln>
                  <a:solidFill>
                    <a:srgbClr val="00B050"/>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trendlineLbl>
          </c:trendline>
          <c:val>
            <c:numRef>
              <c:f>FOCUS!$F$2:$F$144</c:f>
              <c:numCache>
                <c:formatCode>0.00</c:formatCode>
                <c:ptCount val="143"/>
                <c:pt idx="0">
                  <c:v>3.25</c:v>
                </c:pt>
                <c:pt idx="1">
                  <c:v>3.25</c:v>
                </c:pt>
                <c:pt idx="2">
                  <c:v>3.5</c:v>
                </c:pt>
                <c:pt idx="3">
                  <c:v>3.5</c:v>
                </c:pt>
                <c:pt idx="4">
                  <c:v>3.5</c:v>
                </c:pt>
                <c:pt idx="5">
                  <c:v>3.75</c:v>
                </c:pt>
                <c:pt idx="6">
                  <c:v>4</c:v>
                </c:pt>
                <c:pt idx="7">
                  <c:v>4</c:v>
                </c:pt>
                <c:pt idx="8">
                  <c:v>4</c:v>
                </c:pt>
                <c:pt idx="9">
                  <c:v>4.5</c:v>
                </c:pt>
                <c:pt idx="10">
                  <c:v>5</c:v>
                </c:pt>
                <c:pt idx="11">
                  <c:v>5</c:v>
                </c:pt>
                <c:pt idx="12">
                  <c:v>5</c:v>
                </c:pt>
                <c:pt idx="13">
                  <c:v>5.25</c:v>
                </c:pt>
                <c:pt idx="14">
                  <c:v>5.25</c:v>
                </c:pt>
                <c:pt idx="15">
                  <c:v>5.5</c:v>
                </c:pt>
                <c:pt idx="16">
                  <c:v>5.5</c:v>
                </c:pt>
                <c:pt idx="17">
                  <c:v>5.5</c:v>
                </c:pt>
                <c:pt idx="18">
                  <c:v>5.5</c:v>
                </c:pt>
                <c:pt idx="19">
                  <c:v>5.5</c:v>
                </c:pt>
                <c:pt idx="20">
                  <c:v>5.75</c:v>
                </c:pt>
                <c:pt idx="21">
                  <c:v>5.75</c:v>
                </c:pt>
                <c:pt idx="22">
                  <c:v>6.25</c:v>
                </c:pt>
                <c:pt idx="23">
                  <c:v>6.5</c:v>
                </c:pt>
                <c:pt idx="24">
                  <c:v>6.5</c:v>
                </c:pt>
                <c:pt idx="25">
                  <c:v>6.5</c:v>
                </c:pt>
                <c:pt idx="26">
                  <c:v>6.63</c:v>
                </c:pt>
                <c:pt idx="27">
                  <c:v>6.75</c:v>
                </c:pt>
                <c:pt idx="28">
                  <c:v>7</c:v>
                </c:pt>
                <c:pt idx="29">
                  <c:v>7</c:v>
                </c:pt>
                <c:pt idx="30">
                  <c:v>7.25</c:v>
                </c:pt>
                <c:pt idx="31">
                  <c:v>7.5</c:v>
                </c:pt>
                <c:pt idx="32">
                  <c:v>7.5</c:v>
                </c:pt>
                <c:pt idx="33">
                  <c:v>7.5</c:v>
                </c:pt>
                <c:pt idx="34">
                  <c:v>7.63</c:v>
                </c:pt>
                <c:pt idx="35">
                  <c:v>8</c:v>
                </c:pt>
                <c:pt idx="36">
                  <c:v>8</c:v>
                </c:pt>
                <c:pt idx="37">
                  <c:v>8.25</c:v>
                </c:pt>
                <c:pt idx="38">
                  <c:v>8.25</c:v>
                </c:pt>
                <c:pt idx="39">
                  <c:v>8.25</c:v>
                </c:pt>
                <c:pt idx="40">
                  <c:v>8.25</c:v>
                </c:pt>
                <c:pt idx="41">
                  <c:v>8.75</c:v>
                </c:pt>
                <c:pt idx="42">
                  <c:v>9.25</c:v>
                </c:pt>
                <c:pt idx="43">
                  <c:v>9.25</c:v>
                </c:pt>
                <c:pt idx="44">
                  <c:v>9.25</c:v>
                </c:pt>
                <c:pt idx="45">
                  <c:v>9.25</c:v>
                </c:pt>
                <c:pt idx="46">
                  <c:v>9.25</c:v>
                </c:pt>
                <c:pt idx="47">
                  <c:v>9.25</c:v>
                </c:pt>
                <c:pt idx="48">
                  <c:v>9.25</c:v>
                </c:pt>
                <c:pt idx="49">
                  <c:v>9.25</c:v>
                </c:pt>
                <c:pt idx="50">
                  <c:v>9.25</c:v>
                </c:pt>
                <c:pt idx="51">
                  <c:v>9.25</c:v>
                </c:pt>
                <c:pt idx="52">
                  <c:v>11.75</c:v>
                </c:pt>
                <c:pt idx="53">
                  <c:v>11.75</c:v>
                </c:pt>
                <c:pt idx="54">
                  <c:v>11.75</c:v>
                </c:pt>
                <c:pt idx="55">
                  <c:v>11.75</c:v>
                </c:pt>
                <c:pt idx="56">
                  <c:v>11.75</c:v>
                </c:pt>
                <c:pt idx="57">
                  <c:v>11.75</c:v>
                </c:pt>
                <c:pt idx="58">
                  <c:v>12.25</c:v>
                </c:pt>
                <c:pt idx="59">
                  <c:v>12.25</c:v>
                </c:pt>
                <c:pt idx="60">
                  <c:v>12.25</c:v>
                </c:pt>
                <c:pt idx="61">
                  <c:v>12.75</c:v>
                </c:pt>
                <c:pt idx="62">
                  <c:v>13</c:v>
                </c:pt>
                <c:pt idx="63">
                  <c:v>13</c:v>
                </c:pt>
                <c:pt idx="64">
                  <c:v>13</c:v>
                </c:pt>
                <c:pt idx="65">
                  <c:v>13.05</c:v>
                </c:pt>
                <c:pt idx="66">
                  <c:v>13.25</c:v>
                </c:pt>
                <c:pt idx="67">
                  <c:v>13.25</c:v>
                </c:pt>
                <c:pt idx="68">
                  <c:v>13.25</c:v>
                </c:pt>
                <c:pt idx="69">
                  <c:v>13.25</c:v>
                </c:pt>
                <c:pt idx="70">
                  <c:v>13.25</c:v>
                </c:pt>
                <c:pt idx="71">
                  <c:v>13.25</c:v>
                </c:pt>
                <c:pt idx="72">
                  <c:v>13.25</c:v>
                </c:pt>
                <c:pt idx="73">
                  <c:v>13.25</c:v>
                </c:pt>
                <c:pt idx="74">
                  <c:v>13.75</c:v>
                </c:pt>
                <c:pt idx="75">
                  <c:v>13.75</c:v>
                </c:pt>
                <c:pt idx="76">
                  <c:v>13.75</c:v>
                </c:pt>
                <c:pt idx="77">
                  <c:v>13.75</c:v>
                </c:pt>
                <c:pt idx="78">
                  <c:v>13.75</c:v>
                </c:pt>
                <c:pt idx="79">
                  <c:v>13.75</c:v>
                </c:pt>
                <c:pt idx="80">
                  <c:v>13.75</c:v>
                </c:pt>
                <c:pt idx="81">
                  <c:v>13.75</c:v>
                </c:pt>
                <c:pt idx="82">
                  <c:v>13.75</c:v>
                </c:pt>
                <c:pt idx="83">
                  <c:v>13.75</c:v>
                </c:pt>
                <c:pt idx="84">
                  <c:v>13.75</c:v>
                </c:pt>
                <c:pt idx="85">
                  <c:v>13.75</c:v>
                </c:pt>
                <c:pt idx="86">
                  <c:v>13.75</c:v>
                </c:pt>
                <c:pt idx="87">
                  <c:v>13.75</c:v>
                </c:pt>
                <c:pt idx="88">
                  <c:v>13.75</c:v>
                </c:pt>
                <c:pt idx="89">
                  <c:v>13.75</c:v>
                </c:pt>
                <c:pt idx="90">
                  <c:v>13.75</c:v>
                </c:pt>
                <c:pt idx="91">
                  <c:v>13.75</c:v>
                </c:pt>
                <c:pt idx="92">
                  <c:v>13.75</c:v>
                </c:pt>
                <c:pt idx="93">
                  <c:v>13.75</c:v>
                </c:pt>
                <c:pt idx="94">
                  <c:v>13.75</c:v>
                </c:pt>
                <c:pt idx="95">
                  <c:v>13.75</c:v>
                </c:pt>
                <c:pt idx="96">
                  <c:v>13.75</c:v>
                </c:pt>
                <c:pt idx="97">
                  <c:v>13.75</c:v>
                </c:pt>
                <c:pt idx="98">
                  <c:v>13.75</c:v>
                </c:pt>
                <c:pt idx="99">
                  <c:v>13.75</c:v>
                </c:pt>
                <c:pt idx="100">
                  <c:v>13.75</c:v>
                </c:pt>
                <c:pt idx="101">
                  <c:v>13.75</c:v>
                </c:pt>
                <c:pt idx="102">
                  <c:v>13.75</c:v>
                </c:pt>
                <c:pt idx="103">
                  <c:v>13.75</c:v>
                </c:pt>
                <c:pt idx="104">
                  <c:v>13.75</c:v>
                </c:pt>
                <c:pt idx="105">
                  <c:v>12.5</c:v>
                </c:pt>
                <c:pt idx="106">
                  <c:v>12.5</c:v>
                </c:pt>
                <c:pt idx="107">
                  <c:v>12.5</c:v>
                </c:pt>
                <c:pt idx="108">
                  <c:v>12.25</c:v>
                </c:pt>
                <c:pt idx="109">
                  <c:v>12.5</c:v>
                </c:pt>
                <c:pt idx="110">
                  <c:v>12.5</c:v>
                </c:pt>
                <c:pt idx="111">
                  <c:v>12.5</c:v>
                </c:pt>
                <c:pt idx="112">
                  <c:v>12.5</c:v>
                </c:pt>
                <c:pt idx="113">
                  <c:v>12.75</c:v>
                </c:pt>
                <c:pt idx="114">
                  <c:v>12.75</c:v>
                </c:pt>
                <c:pt idx="115">
                  <c:v>12.75</c:v>
                </c:pt>
                <c:pt idx="116">
                  <c:v>12.75</c:v>
                </c:pt>
                <c:pt idx="117">
                  <c:v>12.75</c:v>
                </c:pt>
                <c:pt idx="118">
                  <c:v>12.75</c:v>
                </c:pt>
                <c:pt idx="119">
                  <c:v>12.75</c:v>
                </c:pt>
                <c:pt idx="120">
                  <c:v>12.75</c:v>
                </c:pt>
                <c:pt idx="121">
                  <c:v>12.75</c:v>
                </c:pt>
                <c:pt idx="122">
                  <c:v>12.5</c:v>
                </c:pt>
                <c:pt idx="123">
                  <c:v>12.5</c:v>
                </c:pt>
                <c:pt idx="124">
                  <c:v>12.5</c:v>
                </c:pt>
                <c:pt idx="125">
                  <c:v>12.5</c:v>
                </c:pt>
                <c:pt idx="126">
                  <c:v>12.5</c:v>
                </c:pt>
                <c:pt idx="127">
                  <c:v>12.5</c:v>
                </c:pt>
                <c:pt idx="128">
                  <c:v>12.5</c:v>
                </c:pt>
                <c:pt idx="129">
                  <c:v>12.5</c:v>
                </c:pt>
                <c:pt idx="130">
                  <c:v>12.5</c:v>
                </c:pt>
                <c:pt idx="131">
                  <c:v>12.25</c:v>
                </c:pt>
                <c:pt idx="132">
                  <c:v>12.25</c:v>
                </c:pt>
                <c:pt idx="133">
                  <c:v>12</c:v>
                </c:pt>
                <c:pt idx="134">
                  <c:v>11.75</c:v>
                </c:pt>
                <c:pt idx="135">
                  <c:v>11.75</c:v>
                </c:pt>
                <c:pt idx="136">
                  <c:v>11.75</c:v>
                </c:pt>
                <c:pt idx="137">
                  <c:v>11.75</c:v>
                </c:pt>
                <c:pt idx="138">
                  <c:v>11.75</c:v>
                </c:pt>
                <c:pt idx="139">
                  <c:v>11.75</c:v>
                </c:pt>
                <c:pt idx="140">
                  <c:v>11.75</c:v>
                </c:pt>
                <c:pt idx="141">
                  <c:v>11.75</c:v>
                </c:pt>
                <c:pt idx="142">
                  <c:v>11.75</c:v>
                </c:pt>
              </c:numCache>
            </c:numRef>
          </c:val>
          <c:smooth val="0"/>
          <c:extLst>
            <c:ext xmlns:c16="http://schemas.microsoft.com/office/drawing/2014/chart" uri="{C3380CC4-5D6E-409C-BE32-E72D297353CC}">
              <c16:uniqueId val="{00000001-DB36-48F0-B730-95E6BDBAD5DD}"/>
            </c:ext>
          </c:extLst>
        </c:ser>
        <c:dLbls>
          <c:showLegendKey val="0"/>
          <c:showVal val="0"/>
          <c:showCatName val="0"/>
          <c:showSerName val="0"/>
          <c:showPercent val="0"/>
          <c:showBubbleSize val="0"/>
        </c:dLbls>
        <c:smooth val="0"/>
        <c:axId val="223771647"/>
        <c:axId val="223777887"/>
      </c:lineChart>
      <c:catAx>
        <c:axId val="2237716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223777887"/>
        <c:crosses val="autoZero"/>
        <c:auto val="1"/>
        <c:lblAlgn val="ctr"/>
        <c:lblOffset val="100"/>
        <c:noMultiLvlLbl val="0"/>
      </c:catAx>
      <c:valAx>
        <c:axId val="2237778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223771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a:pPr>
            <a:r>
              <a:rPr lang="pt-BR" sz="1400"/>
              <a:t>IPCA vs. Selic</a:t>
            </a:r>
          </a:p>
        </c:rich>
      </c:tx>
      <c:overlay val="0"/>
      <c:spPr>
        <a:noFill/>
        <a:ln>
          <a:noFill/>
        </a:ln>
        <a:effectLst/>
      </c:spPr>
    </c:title>
    <c:autoTitleDeleted val="0"/>
    <c:plotArea>
      <c:layout/>
      <c:lineChart>
        <c:grouping val="standard"/>
        <c:varyColors val="0"/>
        <c:ser>
          <c:idx val="1"/>
          <c:order val="0"/>
          <c:tx>
            <c:strRef>
              <c:f>FOCUS!$B$1</c:f>
              <c:strCache>
                <c:ptCount val="1"/>
                <c:pt idx="0">
                  <c:v>IPCA (HOJE)</c:v>
                </c:pt>
              </c:strCache>
            </c:strRef>
          </c:tx>
          <c:spPr>
            <a:ln>
              <a:solidFill>
                <a:srgbClr val="FF0000"/>
              </a:solidFill>
            </a:ln>
          </c:spPr>
          <c:marker>
            <c:symbol val="none"/>
          </c:marker>
          <c:val>
            <c:numRef>
              <c:f>FOCUS!$B$2:$B$144</c:f>
              <c:numCache>
                <c:formatCode>0.00</c:formatCode>
                <c:ptCount val="143"/>
                <c:pt idx="0">
                  <c:v>3.34</c:v>
                </c:pt>
                <c:pt idx="1">
                  <c:v>3.43</c:v>
                </c:pt>
                <c:pt idx="2">
                  <c:v>3.5</c:v>
                </c:pt>
                <c:pt idx="3">
                  <c:v>3.53</c:v>
                </c:pt>
                <c:pt idx="4">
                  <c:v>3.6</c:v>
                </c:pt>
                <c:pt idx="5">
                  <c:v>3.62</c:v>
                </c:pt>
                <c:pt idx="6">
                  <c:v>3.82</c:v>
                </c:pt>
                <c:pt idx="7">
                  <c:v>3.87</c:v>
                </c:pt>
                <c:pt idx="8">
                  <c:v>3.98</c:v>
                </c:pt>
                <c:pt idx="9">
                  <c:v>4.5999999999999996</c:v>
                </c:pt>
                <c:pt idx="10">
                  <c:v>4.71</c:v>
                </c:pt>
                <c:pt idx="11">
                  <c:v>4.8099999999999996</c:v>
                </c:pt>
                <c:pt idx="12">
                  <c:v>4.8099999999999996</c:v>
                </c:pt>
                <c:pt idx="13">
                  <c:v>4.8499999999999996</c:v>
                </c:pt>
                <c:pt idx="14">
                  <c:v>4.92</c:v>
                </c:pt>
                <c:pt idx="15">
                  <c:v>5.01</c:v>
                </c:pt>
                <c:pt idx="16">
                  <c:v>5.04</c:v>
                </c:pt>
                <c:pt idx="17">
                  <c:v>5.0599999999999996</c:v>
                </c:pt>
                <c:pt idx="18">
                  <c:v>5.15</c:v>
                </c:pt>
                <c:pt idx="19">
                  <c:v>5.24</c:v>
                </c:pt>
                <c:pt idx="20">
                  <c:v>5.31</c:v>
                </c:pt>
                <c:pt idx="21">
                  <c:v>5.44</c:v>
                </c:pt>
                <c:pt idx="22">
                  <c:v>5.82</c:v>
                </c:pt>
                <c:pt idx="23">
                  <c:v>5.9</c:v>
                </c:pt>
                <c:pt idx="24">
                  <c:v>5.97</c:v>
                </c:pt>
                <c:pt idx="25">
                  <c:v>6.07</c:v>
                </c:pt>
                <c:pt idx="26">
                  <c:v>6.11</c:v>
                </c:pt>
                <c:pt idx="27">
                  <c:v>6.31</c:v>
                </c:pt>
                <c:pt idx="28">
                  <c:v>6.56</c:v>
                </c:pt>
                <c:pt idx="29">
                  <c:v>6.79</c:v>
                </c:pt>
                <c:pt idx="30">
                  <c:v>6.88</c:v>
                </c:pt>
                <c:pt idx="31">
                  <c:v>7.05</c:v>
                </c:pt>
                <c:pt idx="32">
                  <c:v>7.11</c:v>
                </c:pt>
                <c:pt idx="33">
                  <c:v>7.27</c:v>
                </c:pt>
                <c:pt idx="34">
                  <c:v>7.58</c:v>
                </c:pt>
                <c:pt idx="35">
                  <c:v>8</c:v>
                </c:pt>
                <c:pt idx="36">
                  <c:v>8.35</c:v>
                </c:pt>
                <c:pt idx="37">
                  <c:v>8.4499999999999993</c:v>
                </c:pt>
                <c:pt idx="38">
                  <c:v>8.51</c:v>
                </c:pt>
                <c:pt idx="39">
                  <c:v>8.59</c:v>
                </c:pt>
                <c:pt idx="40">
                  <c:v>8.69</c:v>
                </c:pt>
                <c:pt idx="41">
                  <c:v>8.9600000000000009</c:v>
                </c:pt>
                <c:pt idx="42">
                  <c:v>9.17</c:v>
                </c:pt>
                <c:pt idx="43">
                  <c:v>9.33</c:v>
                </c:pt>
                <c:pt idx="44">
                  <c:v>9.77</c:v>
                </c:pt>
                <c:pt idx="45">
                  <c:v>10.119999999999999</c:v>
                </c:pt>
                <c:pt idx="46">
                  <c:v>10.15</c:v>
                </c:pt>
                <c:pt idx="47">
                  <c:v>10.18</c:v>
                </c:pt>
                <c:pt idx="48">
                  <c:v>10.050000000000001</c:v>
                </c:pt>
                <c:pt idx="49">
                  <c:v>10.039999999999999</c:v>
                </c:pt>
                <c:pt idx="50">
                  <c:v>10.02</c:v>
                </c:pt>
                <c:pt idx="51">
                  <c:v>10.01</c:v>
                </c:pt>
                <c:pt idx="52">
                  <c:v>5.03</c:v>
                </c:pt>
                <c:pt idx="53">
                  <c:v>5.09</c:v>
                </c:pt>
                <c:pt idx="54">
                  <c:v>5.15</c:v>
                </c:pt>
                <c:pt idx="55">
                  <c:v>5.38</c:v>
                </c:pt>
                <c:pt idx="56">
                  <c:v>5.44</c:v>
                </c:pt>
                <c:pt idx="57">
                  <c:v>5.5</c:v>
                </c:pt>
                <c:pt idx="58">
                  <c:v>5.56</c:v>
                </c:pt>
                <c:pt idx="59">
                  <c:v>5.6</c:v>
                </c:pt>
                <c:pt idx="60">
                  <c:v>5.65</c:v>
                </c:pt>
                <c:pt idx="61">
                  <c:v>6.45</c:v>
                </c:pt>
                <c:pt idx="62">
                  <c:v>6.59</c:v>
                </c:pt>
                <c:pt idx="63">
                  <c:v>6.86</c:v>
                </c:pt>
                <c:pt idx="64">
                  <c:v>6.97</c:v>
                </c:pt>
                <c:pt idx="65">
                  <c:v>7.46</c:v>
                </c:pt>
                <c:pt idx="66">
                  <c:v>7.65</c:v>
                </c:pt>
                <c:pt idx="67">
                  <c:v>7.89</c:v>
                </c:pt>
                <c:pt idx="68">
                  <c:v>8.02</c:v>
                </c:pt>
                <c:pt idx="69">
                  <c:v>8.33</c:v>
                </c:pt>
                <c:pt idx="70">
                  <c:v>8.6300000000000008</c:v>
                </c:pt>
                <c:pt idx="71">
                  <c:v>8.73</c:v>
                </c:pt>
                <c:pt idx="72">
                  <c:v>8.89</c:v>
                </c:pt>
                <c:pt idx="73">
                  <c:v>8.5</c:v>
                </c:pt>
                <c:pt idx="74">
                  <c:v>8.27</c:v>
                </c:pt>
                <c:pt idx="75">
                  <c:v>8.27</c:v>
                </c:pt>
                <c:pt idx="76">
                  <c:v>7.96</c:v>
                </c:pt>
                <c:pt idx="77">
                  <c:v>7.67</c:v>
                </c:pt>
                <c:pt idx="78">
                  <c:v>7.54</c:v>
                </c:pt>
                <c:pt idx="79">
                  <c:v>7.3</c:v>
                </c:pt>
                <c:pt idx="80">
                  <c:v>7.15</c:v>
                </c:pt>
                <c:pt idx="81">
                  <c:v>7.11</c:v>
                </c:pt>
                <c:pt idx="82">
                  <c:v>7.02</c:v>
                </c:pt>
                <c:pt idx="83">
                  <c:v>6.82</c:v>
                </c:pt>
                <c:pt idx="84">
                  <c:v>6.7</c:v>
                </c:pt>
                <c:pt idx="85">
                  <c:v>6.61</c:v>
                </c:pt>
                <c:pt idx="86">
                  <c:v>6.4</c:v>
                </c:pt>
                <c:pt idx="87">
                  <c:v>6</c:v>
                </c:pt>
                <c:pt idx="88">
                  <c:v>5.88</c:v>
                </c:pt>
                <c:pt idx="89">
                  <c:v>5.74</c:v>
                </c:pt>
                <c:pt idx="90">
                  <c:v>5.74</c:v>
                </c:pt>
                <c:pt idx="91">
                  <c:v>5.71</c:v>
                </c:pt>
                <c:pt idx="92">
                  <c:v>5.62</c:v>
                </c:pt>
                <c:pt idx="93">
                  <c:v>5.6</c:v>
                </c:pt>
                <c:pt idx="94">
                  <c:v>5.61</c:v>
                </c:pt>
                <c:pt idx="95">
                  <c:v>5.63</c:v>
                </c:pt>
                <c:pt idx="96">
                  <c:v>5.82</c:v>
                </c:pt>
                <c:pt idx="97">
                  <c:v>5.88</c:v>
                </c:pt>
                <c:pt idx="98">
                  <c:v>5.91</c:v>
                </c:pt>
                <c:pt idx="99">
                  <c:v>5.92</c:v>
                </c:pt>
                <c:pt idx="100">
                  <c:v>5.79</c:v>
                </c:pt>
                <c:pt idx="101">
                  <c:v>5.76</c:v>
                </c:pt>
                <c:pt idx="102">
                  <c:v>5.64</c:v>
                </c:pt>
                <c:pt idx="103">
                  <c:v>5.62</c:v>
                </c:pt>
                <c:pt idx="104">
                  <c:v>5.62</c:v>
                </c:pt>
                <c:pt idx="105">
                  <c:v>5.39</c:v>
                </c:pt>
                <c:pt idx="106">
                  <c:v>5.48</c:v>
                </c:pt>
                <c:pt idx="107">
                  <c:v>5.74</c:v>
                </c:pt>
                <c:pt idx="108">
                  <c:v>5.36</c:v>
                </c:pt>
                <c:pt idx="109">
                  <c:v>5.39</c:v>
                </c:pt>
                <c:pt idx="110">
                  <c:v>5.48</c:v>
                </c:pt>
                <c:pt idx="111">
                  <c:v>5.74</c:v>
                </c:pt>
                <c:pt idx="112">
                  <c:v>5.78</c:v>
                </c:pt>
                <c:pt idx="113">
                  <c:v>5.79</c:v>
                </c:pt>
                <c:pt idx="114">
                  <c:v>5.89</c:v>
                </c:pt>
                <c:pt idx="115">
                  <c:v>5.9</c:v>
                </c:pt>
                <c:pt idx="116">
                  <c:v>5.9</c:v>
                </c:pt>
                <c:pt idx="117">
                  <c:v>5.96</c:v>
                </c:pt>
                <c:pt idx="118">
                  <c:v>5.95</c:v>
                </c:pt>
                <c:pt idx="119">
                  <c:v>5.93</c:v>
                </c:pt>
                <c:pt idx="120">
                  <c:v>5.96</c:v>
                </c:pt>
                <c:pt idx="121">
                  <c:v>5.98</c:v>
                </c:pt>
                <c:pt idx="122">
                  <c:v>6.01</c:v>
                </c:pt>
                <c:pt idx="123">
                  <c:v>6.04</c:v>
                </c:pt>
                <c:pt idx="124">
                  <c:v>6.05</c:v>
                </c:pt>
                <c:pt idx="125">
                  <c:v>6.02</c:v>
                </c:pt>
                <c:pt idx="126">
                  <c:v>6.03</c:v>
                </c:pt>
                <c:pt idx="127">
                  <c:v>5.8</c:v>
                </c:pt>
                <c:pt idx="128">
                  <c:v>5.71</c:v>
                </c:pt>
                <c:pt idx="129">
                  <c:v>5.69</c:v>
                </c:pt>
                <c:pt idx="130">
                  <c:v>5.42</c:v>
                </c:pt>
                <c:pt idx="131">
                  <c:v>5.12</c:v>
                </c:pt>
                <c:pt idx="132">
                  <c:v>5.0599999999999996</c:v>
                </c:pt>
                <c:pt idx="133">
                  <c:v>4.9800000000000004</c:v>
                </c:pt>
                <c:pt idx="134">
                  <c:v>4.84</c:v>
                </c:pt>
                <c:pt idx="135">
                  <c:v>4.84</c:v>
                </c:pt>
                <c:pt idx="136">
                  <c:v>4.9000000000000004</c:v>
                </c:pt>
                <c:pt idx="137">
                  <c:v>4.9000000000000004</c:v>
                </c:pt>
                <c:pt idx="138">
                  <c:v>4.92</c:v>
                </c:pt>
                <c:pt idx="139">
                  <c:v>4.93</c:v>
                </c:pt>
                <c:pt idx="140">
                  <c:v>4.8600000000000003</c:v>
                </c:pt>
                <c:pt idx="141">
                  <c:v>4.8600000000000003</c:v>
                </c:pt>
                <c:pt idx="142">
                  <c:v>4.8600000000000003</c:v>
                </c:pt>
              </c:numCache>
            </c:numRef>
          </c:val>
          <c:smooth val="0"/>
          <c:extLst>
            <c:ext xmlns:c16="http://schemas.microsoft.com/office/drawing/2014/chart" uri="{C3380CC4-5D6E-409C-BE32-E72D297353CC}">
              <c16:uniqueId val="{00000000-5804-428E-9475-6A71BDCC1770}"/>
            </c:ext>
          </c:extLst>
        </c:ser>
        <c:ser>
          <c:idx val="0"/>
          <c:order val="1"/>
          <c:tx>
            <c:strRef>
              <c:f>FOCUS!$F$1</c:f>
              <c:strCache>
                <c:ptCount val="1"/>
                <c:pt idx="0">
                  <c:v>SELIC</c:v>
                </c:pt>
              </c:strCache>
            </c:strRef>
          </c:tx>
          <c:spPr>
            <a:ln w="28575" cap="rnd">
              <a:solidFill>
                <a:srgbClr val="7030A0"/>
              </a:solidFill>
              <a:round/>
            </a:ln>
            <a:effectLst/>
          </c:spPr>
          <c:marker>
            <c:symbol val="none"/>
          </c:marker>
          <c:val>
            <c:numRef>
              <c:f>FOCUS!$F$2:$F$144</c:f>
              <c:numCache>
                <c:formatCode>0.00</c:formatCode>
                <c:ptCount val="143"/>
                <c:pt idx="0">
                  <c:v>3.25</c:v>
                </c:pt>
                <c:pt idx="1">
                  <c:v>3.25</c:v>
                </c:pt>
                <c:pt idx="2">
                  <c:v>3.5</c:v>
                </c:pt>
                <c:pt idx="3">
                  <c:v>3.5</c:v>
                </c:pt>
                <c:pt idx="4">
                  <c:v>3.5</c:v>
                </c:pt>
                <c:pt idx="5">
                  <c:v>3.75</c:v>
                </c:pt>
                <c:pt idx="6">
                  <c:v>4</c:v>
                </c:pt>
                <c:pt idx="7">
                  <c:v>4</c:v>
                </c:pt>
                <c:pt idx="8">
                  <c:v>4</c:v>
                </c:pt>
                <c:pt idx="9">
                  <c:v>4.5</c:v>
                </c:pt>
                <c:pt idx="10">
                  <c:v>5</c:v>
                </c:pt>
                <c:pt idx="11">
                  <c:v>5</c:v>
                </c:pt>
                <c:pt idx="12">
                  <c:v>5</c:v>
                </c:pt>
                <c:pt idx="13">
                  <c:v>5.25</c:v>
                </c:pt>
                <c:pt idx="14">
                  <c:v>5.25</c:v>
                </c:pt>
                <c:pt idx="15">
                  <c:v>5.5</c:v>
                </c:pt>
                <c:pt idx="16">
                  <c:v>5.5</c:v>
                </c:pt>
                <c:pt idx="17">
                  <c:v>5.5</c:v>
                </c:pt>
                <c:pt idx="18">
                  <c:v>5.5</c:v>
                </c:pt>
                <c:pt idx="19">
                  <c:v>5.5</c:v>
                </c:pt>
                <c:pt idx="20">
                  <c:v>5.75</c:v>
                </c:pt>
                <c:pt idx="21">
                  <c:v>5.75</c:v>
                </c:pt>
                <c:pt idx="22">
                  <c:v>6.25</c:v>
                </c:pt>
                <c:pt idx="23">
                  <c:v>6.5</c:v>
                </c:pt>
                <c:pt idx="24">
                  <c:v>6.5</c:v>
                </c:pt>
                <c:pt idx="25">
                  <c:v>6.5</c:v>
                </c:pt>
                <c:pt idx="26">
                  <c:v>6.63</c:v>
                </c:pt>
                <c:pt idx="27">
                  <c:v>6.75</c:v>
                </c:pt>
                <c:pt idx="28">
                  <c:v>7</c:v>
                </c:pt>
                <c:pt idx="29">
                  <c:v>7</c:v>
                </c:pt>
                <c:pt idx="30">
                  <c:v>7.25</c:v>
                </c:pt>
                <c:pt idx="31">
                  <c:v>7.5</c:v>
                </c:pt>
                <c:pt idx="32">
                  <c:v>7.5</c:v>
                </c:pt>
                <c:pt idx="33">
                  <c:v>7.5</c:v>
                </c:pt>
                <c:pt idx="34">
                  <c:v>7.63</c:v>
                </c:pt>
                <c:pt idx="35">
                  <c:v>8</c:v>
                </c:pt>
                <c:pt idx="36">
                  <c:v>8</c:v>
                </c:pt>
                <c:pt idx="37">
                  <c:v>8.25</c:v>
                </c:pt>
                <c:pt idx="38">
                  <c:v>8.25</c:v>
                </c:pt>
                <c:pt idx="39">
                  <c:v>8.25</c:v>
                </c:pt>
                <c:pt idx="40">
                  <c:v>8.25</c:v>
                </c:pt>
                <c:pt idx="41">
                  <c:v>8.75</c:v>
                </c:pt>
                <c:pt idx="42">
                  <c:v>9.25</c:v>
                </c:pt>
                <c:pt idx="43">
                  <c:v>9.25</c:v>
                </c:pt>
                <c:pt idx="44">
                  <c:v>9.25</c:v>
                </c:pt>
                <c:pt idx="45">
                  <c:v>9.25</c:v>
                </c:pt>
                <c:pt idx="46">
                  <c:v>9.25</c:v>
                </c:pt>
                <c:pt idx="47">
                  <c:v>9.25</c:v>
                </c:pt>
                <c:pt idx="48">
                  <c:v>9.25</c:v>
                </c:pt>
                <c:pt idx="49">
                  <c:v>9.25</c:v>
                </c:pt>
                <c:pt idx="50">
                  <c:v>9.25</c:v>
                </c:pt>
                <c:pt idx="51">
                  <c:v>9.25</c:v>
                </c:pt>
                <c:pt idx="52">
                  <c:v>11.75</c:v>
                </c:pt>
                <c:pt idx="53">
                  <c:v>11.75</c:v>
                </c:pt>
                <c:pt idx="54">
                  <c:v>11.75</c:v>
                </c:pt>
                <c:pt idx="55">
                  <c:v>11.75</c:v>
                </c:pt>
                <c:pt idx="56">
                  <c:v>11.75</c:v>
                </c:pt>
                <c:pt idx="57">
                  <c:v>11.75</c:v>
                </c:pt>
                <c:pt idx="58">
                  <c:v>12.25</c:v>
                </c:pt>
                <c:pt idx="59">
                  <c:v>12.25</c:v>
                </c:pt>
                <c:pt idx="60">
                  <c:v>12.25</c:v>
                </c:pt>
                <c:pt idx="61">
                  <c:v>12.75</c:v>
                </c:pt>
                <c:pt idx="62">
                  <c:v>13</c:v>
                </c:pt>
                <c:pt idx="63">
                  <c:v>13</c:v>
                </c:pt>
                <c:pt idx="64">
                  <c:v>13</c:v>
                </c:pt>
                <c:pt idx="65">
                  <c:v>13.05</c:v>
                </c:pt>
                <c:pt idx="66">
                  <c:v>13.25</c:v>
                </c:pt>
                <c:pt idx="67">
                  <c:v>13.25</c:v>
                </c:pt>
                <c:pt idx="68">
                  <c:v>13.25</c:v>
                </c:pt>
                <c:pt idx="69">
                  <c:v>13.25</c:v>
                </c:pt>
                <c:pt idx="70">
                  <c:v>13.25</c:v>
                </c:pt>
                <c:pt idx="71">
                  <c:v>13.25</c:v>
                </c:pt>
                <c:pt idx="72">
                  <c:v>13.25</c:v>
                </c:pt>
                <c:pt idx="73">
                  <c:v>13.25</c:v>
                </c:pt>
                <c:pt idx="74">
                  <c:v>13.75</c:v>
                </c:pt>
                <c:pt idx="75">
                  <c:v>13.75</c:v>
                </c:pt>
                <c:pt idx="76">
                  <c:v>13.75</c:v>
                </c:pt>
                <c:pt idx="77">
                  <c:v>13.75</c:v>
                </c:pt>
                <c:pt idx="78">
                  <c:v>13.75</c:v>
                </c:pt>
                <c:pt idx="79">
                  <c:v>13.75</c:v>
                </c:pt>
                <c:pt idx="80">
                  <c:v>13.75</c:v>
                </c:pt>
                <c:pt idx="81">
                  <c:v>13.75</c:v>
                </c:pt>
                <c:pt idx="82">
                  <c:v>13.75</c:v>
                </c:pt>
                <c:pt idx="83">
                  <c:v>13.75</c:v>
                </c:pt>
                <c:pt idx="84">
                  <c:v>13.75</c:v>
                </c:pt>
                <c:pt idx="85">
                  <c:v>13.75</c:v>
                </c:pt>
                <c:pt idx="86">
                  <c:v>13.75</c:v>
                </c:pt>
                <c:pt idx="87">
                  <c:v>13.75</c:v>
                </c:pt>
                <c:pt idx="88">
                  <c:v>13.75</c:v>
                </c:pt>
                <c:pt idx="89">
                  <c:v>13.75</c:v>
                </c:pt>
                <c:pt idx="90">
                  <c:v>13.75</c:v>
                </c:pt>
                <c:pt idx="91">
                  <c:v>13.75</c:v>
                </c:pt>
                <c:pt idx="92">
                  <c:v>13.75</c:v>
                </c:pt>
                <c:pt idx="93">
                  <c:v>13.75</c:v>
                </c:pt>
                <c:pt idx="94">
                  <c:v>13.75</c:v>
                </c:pt>
                <c:pt idx="95">
                  <c:v>13.75</c:v>
                </c:pt>
                <c:pt idx="96">
                  <c:v>13.75</c:v>
                </c:pt>
                <c:pt idx="97">
                  <c:v>13.75</c:v>
                </c:pt>
                <c:pt idx="98">
                  <c:v>13.75</c:v>
                </c:pt>
                <c:pt idx="99">
                  <c:v>13.75</c:v>
                </c:pt>
                <c:pt idx="100">
                  <c:v>13.75</c:v>
                </c:pt>
                <c:pt idx="101">
                  <c:v>13.75</c:v>
                </c:pt>
                <c:pt idx="102">
                  <c:v>13.75</c:v>
                </c:pt>
                <c:pt idx="103">
                  <c:v>13.75</c:v>
                </c:pt>
                <c:pt idx="104">
                  <c:v>13.75</c:v>
                </c:pt>
                <c:pt idx="105">
                  <c:v>12.5</c:v>
                </c:pt>
                <c:pt idx="106">
                  <c:v>12.5</c:v>
                </c:pt>
                <c:pt idx="107">
                  <c:v>12.5</c:v>
                </c:pt>
                <c:pt idx="108">
                  <c:v>12.25</c:v>
                </c:pt>
                <c:pt idx="109">
                  <c:v>12.5</c:v>
                </c:pt>
                <c:pt idx="110">
                  <c:v>12.5</c:v>
                </c:pt>
                <c:pt idx="111">
                  <c:v>12.5</c:v>
                </c:pt>
                <c:pt idx="112">
                  <c:v>12.5</c:v>
                </c:pt>
                <c:pt idx="113">
                  <c:v>12.75</c:v>
                </c:pt>
                <c:pt idx="114">
                  <c:v>12.75</c:v>
                </c:pt>
                <c:pt idx="115">
                  <c:v>12.75</c:v>
                </c:pt>
                <c:pt idx="116">
                  <c:v>12.75</c:v>
                </c:pt>
                <c:pt idx="117">
                  <c:v>12.75</c:v>
                </c:pt>
                <c:pt idx="118">
                  <c:v>12.75</c:v>
                </c:pt>
                <c:pt idx="119">
                  <c:v>12.75</c:v>
                </c:pt>
                <c:pt idx="120">
                  <c:v>12.75</c:v>
                </c:pt>
                <c:pt idx="121">
                  <c:v>12.75</c:v>
                </c:pt>
                <c:pt idx="122">
                  <c:v>12.5</c:v>
                </c:pt>
                <c:pt idx="123">
                  <c:v>12.5</c:v>
                </c:pt>
                <c:pt idx="124">
                  <c:v>12.5</c:v>
                </c:pt>
                <c:pt idx="125">
                  <c:v>12.5</c:v>
                </c:pt>
                <c:pt idx="126">
                  <c:v>12.5</c:v>
                </c:pt>
                <c:pt idx="127">
                  <c:v>12.5</c:v>
                </c:pt>
                <c:pt idx="128">
                  <c:v>12.5</c:v>
                </c:pt>
                <c:pt idx="129">
                  <c:v>12.5</c:v>
                </c:pt>
                <c:pt idx="130">
                  <c:v>12.5</c:v>
                </c:pt>
                <c:pt idx="131">
                  <c:v>12.25</c:v>
                </c:pt>
                <c:pt idx="132">
                  <c:v>12.25</c:v>
                </c:pt>
                <c:pt idx="133">
                  <c:v>12</c:v>
                </c:pt>
                <c:pt idx="134">
                  <c:v>11.75</c:v>
                </c:pt>
                <c:pt idx="135">
                  <c:v>11.75</c:v>
                </c:pt>
                <c:pt idx="136">
                  <c:v>11.75</c:v>
                </c:pt>
                <c:pt idx="137">
                  <c:v>11.75</c:v>
                </c:pt>
                <c:pt idx="138">
                  <c:v>11.75</c:v>
                </c:pt>
                <c:pt idx="139">
                  <c:v>11.75</c:v>
                </c:pt>
                <c:pt idx="140">
                  <c:v>11.75</c:v>
                </c:pt>
                <c:pt idx="141">
                  <c:v>11.75</c:v>
                </c:pt>
                <c:pt idx="142">
                  <c:v>11.75</c:v>
                </c:pt>
              </c:numCache>
            </c:numRef>
          </c:val>
          <c:smooth val="0"/>
          <c:extLst>
            <c:ext xmlns:c16="http://schemas.microsoft.com/office/drawing/2014/chart" uri="{C3380CC4-5D6E-409C-BE32-E72D297353CC}">
              <c16:uniqueId val="{00000001-5804-428E-9475-6A71BDCC1770}"/>
            </c:ext>
          </c:extLst>
        </c:ser>
        <c:dLbls>
          <c:showLegendKey val="0"/>
          <c:showVal val="0"/>
          <c:showCatName val="0"/>
          <c:showSerName val="0"/>
          <c:showPercent val="0"/>
          <c:showBubbleSize val="0"/>
        </c:dLbls>
        <c:smooth val="0"/>
        <c:axId val="223771647"/>
        <c:axId val="223777887"/>
      </c:lineChart>
      <c:catAx>
        <c:axId val="2237716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223777887"/>
        <c:crosses val="autoZero"/>
        <c:auto val="1"/>
        <c:lblAlgn val="ctr"/>
        <c:lblOffset val="100"/>
        <c:noMultiLvlLbl val="0"/>
      </c:catAx>
      <c:valAx>
        <c:axId val="2237778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pt-BR"/>
          </a:p>
        </c:txPr>
        <c:crossAx val="223771647"/>
        <c:crosses val="autoZero"/>
        <c:crossBetween val="between"/>
      </c:valAx>
    </c:plotArea>
    <c:legend>
      <c:legendPos val="r"/>
      <c:overlay val="0"/>
    </c:legend>
    <c:plotVisOnly val="1"/>
    <c:dispBlanksAs val="gap"/>
    <c:showDLblsOverMax val="0"/>
    <c:extLst/>
  </c:chart>
  <c:txPr>
    <a:bodyPr/>
    <a:lstStyle/>
    <a:p>
      <a:pPr>
        <a:defRPr b="1">
          <a:solidFill>
            <a:sysClr val="windowText" lastClr="000000"/>
          </a:solidFill>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pt-BR"/>
        </a:p>
      </c:txPr>
    </c:title>
    <c:autoTitleDeleted val="0"/>
    <c:plotArea>
      <c:layout/>
      <c:lineChart>
        <c:grouping val="standard"/>
        <c:varyColors val="0"/>
        <c:ser>
          <c:idx val="0"/>
          <c:order val="0"/>
          <c:tx>
            <c:strRef>
              <c:f>FOCUS!$D$1</c:f>
              <c:strCache>
                <c:ptCount val="1"/>
                <c:pt idx="0">
                  <c:v>PIB</c:v>
                </c:pt>
              </c:strCache>
            </c:strRef>
          </c:tx>
          <c:spPr>
            <a:ln w="28575" cap="rnd">
              <a:solidFill>
                <a:schemeClr val="accent4">
                  <a:lumMod val="75000"/>
                </a:schemeClr>
              </a:solidFill>
              <a:round/>
            </a:ln>
            <a:effectLst/>
          </c:spPr>
          <c:marker>
            <c:symbol val="none"/>
          </c:marker>
          <c:trendline>
            <c:spPr>
              <a:ln w="22225" cap="rnd">
                <a:solidFill>
                  <a:schemeClr val="accent1"/>
                </a:solidFill>
                <a:prstDash val="lgDashDot"/>
              </a:ln>
              <a:effectLst/>
            </c:spPr>
            <c:trendlineType val="poly"/>
            <c:order val="6"/>
            <c:dispRSqr val="1"/>
            <c:dispEq val="0"/>
            <c:trendlineLbl>
              <c:layout>
                <c:manualLayout>
                  <c:x val="-0.13412517979949898"/>
                  <c:y val="-0.22470966520265984"/>
                </c:manualLayout>
              </c:layout>
              <c:numFmt formatCode="General" sourceLinked="0"/>
              <c:spPr>
                <a:noFill/>
                <a:ln>
                  <a:solidFill>
                    <a:schemeClr val="accent4">
                      <a:lumMod val="75000"/>
                      <a:alpha val="95000"/>
                    </a:schemeClr>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trendlineLbl>
          </c:trendline>
          <c:val>
            <c:numRef>
              <c:f>FOCUS!$D$2:$D$144</c:f>
              <c:numCache>
                <c:formatCode>0.00</c:formatCode>
                <c:ptCount val="143"/>
                <c:pt idx="0">
                  <c:v>3.41</c:v>
                </c:pt>
                <c:pt idx="1">
                  <c:v>3.45</c:v>
                </c:pt>
                <c:pt idx="2">
                  <c:v>3.49</c:v>
                </c:pt>
                <c:pt idx="3">
                  <c:v>3.5</c:v>
                </c:pt>
                <c:pt idx="4">
                  <c:v>3.47</c:v>
                </c:pt>
                <c:pt idx="5">
                  <c:v>3.43</c:v>
                </c:pt>
                <c:pt idx="6">
                  <c:v>3.29</c:v>
                </c:pt>
                <c:pt idx="7">
                  <c:v>3.29</c:v>
                </c:pt>
                <c:pt idx="8">
                  <c:v>3.26</c:v>
                </c:pt>
                <c:pt idx="9">
                  <c:v>3.23</c:v>
                </c:pt>
                <c:pt idx="10">
                  <c:v>3.22</c:v>
                </c:pt>
                <c:pt idx="11">
                  <c:v>3.18</c:v>
                </c:pt>
                <c:pt idx="12">
                  <c:v>3.17</c:v>
                </c:pt>
                <c:pt idx="13">
                  <c:v>3.08</c:v>
                </c:pt>
                <c:pt idx="14">
                  <c:v>3.04</c:v>
                </c:pt>
                <c:pt idx="15">
                  <c:v>3.09</c:v>
                </c:pt>
                <c:pt idx="16">
                  <c:v>3.14</c:v>
                </c:pt>
                <c:pt idx="17">
                  <c:v>3.21</c:v>
                </c:pt>
                <c:pt idx="18">
                  <c:v>3.45</c:v>
                </c:pt>
                <c:pt idx="19">
                  <c:v>3.52</c:v>
                </c:pt>
                <c:pt idx="20">
                  <c:v>3.96</c:v>
                </c:pt>
                <c:pt idx="21">
                  <c:v>4.3600000000000003</c:v>
                </c:pt>
                <c:pt idx="22">
                  <c:v>4.8499999999999996</c:v>
                </c:pt>
                <c:pt idx="23">
                  <c:v>5</c:v>
                </c:pt>
                <c:pt idx="24">
                  <c:v>5.05</c:v>
                </c:pt>
                <c:pt idx="25">
                  <c:v>5.18</c:v>
                </c:pt>
                <c:pt idx="26">
                  <c:v>5.26</c:v>
                </c:pt>
                <c:pt idx="27">
                  <c:v>5.27</c:v>
                </c:pt>
                <c:pt idx="28">
                  <c:v>5.29</c:v>
                </c:pt>
                <c:pt idx="29">
                  <c:v>5.3</c:v>
                </c:pt>
                <c:pt idx="30">
                  <c:v>5.3</c:v>
                </c:pt>
                <c:pt idx="31">
                  <c:v>5.28</c:v>
                </c:pt>
                <c:pt idx="32">
                  <c:v>5.27</c:v>
                </c:pt>
                <c:pt idx="33">
                  <c:v>5.22</c:v>
                </c:pt>
                <c:pt idx="34">
                  <c:v>5.15</c:v>
                </c:pt>
                <c:pt idx="35">
                  <c:v>5.04</c:v>
                </c:pt>
                <c:pt idx="36">
                  <c:v>5.04</c:v>
                </c:pt>
                <c:pt idx="37">
                  <c:v>5.04</c:v>
                </c:pt>
                <c:pt idx="38">
                  <c:v>5.04</c:v>
                </c:pt>
                <c:pt idx="39">
                  <c:v>5.04</c:v>
                </c:pt>
                <c:pt idx="40">
                  <c:v>5.01</c:v>
                </c:pt>
                <c:pt idx="41">
                  <c:v>4.97</c:v>
                </c:pt>
                <c:pt idx="42">
                  <c:v>4.9400000000000004</c:v>
                </c:pt>
                <c:pt idx="43">
                  <c:v>4.93</c:v>
                </c:pt>
                <c:pt idx="44">
                  <c:v>4.88</c:v>
                </c:pt>
                <c:pt idx="45">
                  <c:v>4.8</c:v>
                </c:pt>
                <c:pt idx="46">
                  <c:v>4.78</c:v>
                </c:pt>
                <c:pt idx="47">
                  <c:v>4.71</c:v>
                </c:pt>
                <c:pt idx="48">
                  <c:v>4.6500000000000004</c:v>
                </c:pt>
                <c:pt idx="49">
                  <c:v>4.58</c:v>
                </c:pt>
                <c:pt idx="50">
                  <c:v>4.51</c:v>
                </c:pt>
                <c:pt idx="51">
                  <c:v>4.5</c:v>
                </c:pt>
                <c:pt idx="52">
                  <c:v>0.28000000000000003</c:v>
                </c:pt>
                <c:pt idx="53">
                  <c:v>0.28999999999999998</c:v>
                </c:pt>
                <c:pt idx="54">
                  <c:v>0.28999999999999998</c:v>
                </c:pt>
                <c:pt idx="55">
                  <c:v>0.3</c:v>
                </c:pt>
                <c:pt idx="56">
                  <c:v>0.3</c:v>
                </c:pt>
                <c:pt idx="57">
                  <c:v>0.3</c:v>
                </c:pt>
                <c:pt idx="58">
                  <c:v>0.3</c:v>
                </c:pt>
                <c:pt idx="59">
                  <c:v>0.3</c:v>
                </c:pt>
                <c:pt idx="60">
                  <c:v>0.42</c:v>
                </c:pt>
                <c:pt idx="61">
                  <c:v>0.49</c:v>
                </c:pt>
                <c:pt idx="62">
                  <c:v>0.5</c:v>
                </c:pt>
                <c:pt idx="63">
                  <c:v>0.5</c:v>
                </c:pt>
                <c:pt idx="64">
                  <c:v>0.52</c:v>
                </c:pt>
                <c:pt idx="65">
                  <c:v>0.56000000000000005</c:v>
                </c:pt>
                <c:pt idx="66">
                  <c:v>0.65</c:v>
                </c:pt>
                <c:pt idx="67">
                  <c:v>0.7</c:v>
                </c:pt>
                <c:pt idx="68">
                  <c:v>0.79</c:v>
                </c:pt>
                <c:pt idx="69">
                  <c:v>0.81</c:v>
                </c:pt>
                <c:pt idx="70">
                  <c:v>1.03</c:v>
                </c:pt>
                <c:pt idx="71">
                  <c:v>1.17</c:v>
                </c:pt>
                <c:pt idx="72">
                  <c:v>1.2</c:v>
                </c:pt>
                <c:pt idx="73">
                  <c:v>1.42</c:v>
                </c:pt>
                <c:pt idx="74">
                  <c:v>1.5</c:v>
                </c:pt>
                <c:pt idx="75">
                  <c:v>1.5</c:v>
                </c:pt>
                <c:pt idx="76">
                  <c:v>1.51</c:v>
                </c:pt>
                <c:pt idx="77">
                  <c:v>1.59</c:v>
                </c:pt>
                <c:pt idx="78">
                  <c:v>1.75</c:v>
                </c:pt>
                <c:pt idx="79">
                  <c:v>1.93</c:v>
                </c:pt>
                <c:pt idx="80">
                  <c:v>1.97</c:v>
                </c:pt>
                <c:pt idx="81">
                  <c:v>1.98</c:v>
                </c:pt>
                <c:pt idx="82">
                  <c:v>2</c:v>
                </c:pt>
                <c:pt idx="83">
                  <c:v>2.02</c:v>
                </c:pt>
                <c:pt idx="84">
                  <c:v>2.1</c:v>
                </c:pt>
                <c:pt idx="85">
                  <c:v>2.2599999999999998</c:v>
                </c:pt>
                <c:pt idx="86">
                  <c:v>2.39</c:v>
                </c:pt>
                <c:pt idx="87">
                  <c:v>2.65</c:v>
                </c:pt>
                <c:pt idx="88">
                  <c:v>2.67</c:v>
                </c:pt>
                <c:pt idx="89">
                  <c:v>2.7</c:v>
                </c:pt>
                <c:pt idx="90">
                  <c:v>2.7</c:v>
                </c:pt>
                <c:pt idx="91">
                  <c:v>2.7</c:v>
                </c:pt>
                <c:pt idx="92">
                  <c:v>2.71</c:v>
                </c:pt>
                <c:pt idx="93">
                  <c:v>2.76</c:v>
                </c:pt>
                <c:pt idx="94">
                  <c:v>2.76</c:v>
                </c:pt>
                <c:pt idx="95">
                  <c:v>2.76</c:v>
                </c:pt>
                <c:pt idx="96">
                  <c:v>2.77</c:v>
                </c:pt>
                <c:pt idx="97">
                  <c:v>2.8</c:v>
                </c:pt>
                <c:pt idx="98">
                  <c:v>2.81</c:v>
                </c:pt>
                <c:pt idx="99">
                  <c:v>3.05</c:v>
                </c:pt>
                <c:pt idx="100">
                  <c:v>3.05</c:v>
                </c:pt>
                <c:pt idx="101">
                  <c:v>3.05</c:v>
                </c:pt>
                <c:pt idx="102">
                  <c:v>3.04</c:v>
                </c:pt>
                <c:pt idx="103">
                  <c:v>3.04</c:v>
                </c:pt>
                <c:pt idx="104">
                  <c:v>3.03</c:v>
                </c:pt>
                <c:pt idx="105">
                  <c:v>0.77</c:v>
                </c:pt>
                <c:pt idx="106">
                  <c:v>0.79</c:v>
                </c:pt>
                <c:pt idx="107">
                  <c:v>0.8</c:v>
                </c:pt>
                <c:pt idx="108">
                  <c:v>0.78</c:v>
                </c:pt>
                <c:pt idx="109">
                  <c:v>0.77</c:v>
                </c:pt>
                <c:pt idx="110">
                  <c:v>0.79</c:v>
                </c:pt>
                <c:pt idx="111">
                  <c:v>0.8</c:v>
                </c:pt>
                <c:pt idx="112">
                  <c:v>0.79</c:v>
                </c:pt>
                <c:pt idx="113">
                  <c:v>0.76</c:v>
                </c:pt>
                <c:pt idx="114">
                  <c:v>0.8</c:v>
                </c:pt>
                <c:pt idx="115">
                  <c:v>0.84</c:v>
                </c:pt>
                <c:pt idx="116">
                  <c:v>0.85</c:v>
                </c:pt>
                <c:pt idx="117">
                  <c:v>0.89</c:v>
                </c:pt>
                <c:pt idx="118">
                  <c:v>0.88</c:v>
                </c:pt>
                <c:pt idx="119">
                  <c:v>0.9</c:v>
                </c:pt>
                <c:pt idx="120">
                  <c:v>0.9</c:v>
                </c:pt>
                <c:pt idx="121">
                  <c:v>0.91</c:v>
                </c:pt>
                <c:pt idx="122">
                  <c:v>0.9</c:v>
                </c:pt>
                <c:pt idx="123">
                  <c:v>0.96</c:v>
                </c:pt>
                <c:pt idx="124">
                  <c:v>1</c:v>
                </c:pt>
                <c:pt idx="125">
                  <c:v>1</c:v>
                </c:pt>
                <c:pt idx="126">
                  <c:v>1.02</c:v>
                </c:pt>
                <c:pt idx="127">
                  <c:v>1.02</c:v>
                </c:pt>
                <c:pt idx="128">
                  <c:v>1.26</c:v>
                </c:pt>
                <c:pt idx="129">
                  <c:v>1.68</c:v>
                </c:pt>
                <c:pt idx="130">
                  <c:v>1.84</c:v>
                </c:pt>
                <c:pt idx="131">
                  <c:v>2.14</c:v>
                </c:pt>
                <c:pt idx="132">
                  <c:v>2.1800000000000002</c:v>
                </c:pt>
                <c:pt idx="133">
                  <c:v>2.19</c:v>
                </c:pt>
                <c:pt idx="134">
                  <c:v>2.2599999999999998</c:v>
                </c:pt>
                <c:pt idx="135">
                  <c:v>2.29</c:v>
                </c:pt>
                <c:pt idx="136">
                  <c:v>2.29</c:v>
                </c:pt>
                <c:pt idx="137">
                  <c:v>2.31</c:v>
                </c:pt>
                <c:pt idx="138">
                  <c:v>2.56</c:v>
                </c:pt>
                <c:pt idx="139">
                  <c:v>2.64</c:v>
                </c:pt>
                <c:pt idx="140">
                  <c:v>2.89</c:v>
                </c:pt>
                <c:pt idx="141">
                  <c:v>2.92</c:v>
                </c:pt>
                <c:pt idx="142">
                  <c:v>2.92</c:v>
                </c:pt>
              </c:numCache>
            </c:numRef>
          </c:val>
          <c:smooth val="0"/>
          <c:extLst>
            <c:ext xmlns:c16="http://schemas.microsoft.com/office/drawing/2014/chart" uri="{C3380CC4-5D6E-409C-BE32-E72D297353CC}">
              <c16:uniqueId val="{00000001-209E-458E-AC56-B01E61859261}"/>
            </c:ext>
          </c:extLst>
        </c:ser>
        <c:dLbls>
          <c:showLegendKey val="0"/>
          <c:showVal val="0"/>
          <c:showCatName val="0"/>
          <c:showSerName val="0"/>
          <c:showPercent val="0"/>
          <c:showBubbleSize val="0"/>
        </c:dLbls>
        <c:smooth val="0"/>
        <c:axId val="10846687"/>
        <c:axId val="10847935"/>
      </c:lineChart>
      <c:catAx>
        <c:axId val="108466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10847935"/>
        <c:crosses val="autoZero"/>
        <c:auto val="1"/>
        <c:lblAlgn val="ctr"/>
        <c:lblOffset val="100"/>
        <c:noMultiLvlLbl val="0"/>
      </c:catAx>
      <c:valAx>
        <c:axId val="1084793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108466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a:t>BRL/USD</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pt-BR"/>
        </a:p>
      </c:txPr>
    </c:title>
    <c:autoTitleDeleted val="0"/>
    <c:plotArea>
      <c:layout/>
      <c:lineChart>
        <c:grouping val="standard"/>
        <c:varyColors val="0"/>
        <c:ser>
          <c:idx val="0"/>
          <c:order val="0"/>
          <c:tx>
            <c:strRef>
              <c:f>FOCUS!$E$1</c:f>
              <c:strCache>
                <c:ptCount val="1"/>
                <c:pt idx="0">
                  <c:v>CÂMBIO</c:v>
                </c:pt>
              </c:strCache>
            </c:strRef>
          </c:tx>
          <c:spPr>
            <a:ln w="28575" cap="rnd">
              <a:solidFill>
                <a:srgbClr val="002060"/>
              </a:solidFill>
              <a:round/>
            </a:ln>
            <a:effectLst/>
          </c:spPr>
          <c:marker>
            <c:symbol val="none"/>
          </c:marker>
          <c:trendline>
            <c:spPr>
              <a:ln w="22225" cap="rnd">
                <a:solidFill>
                  <a:srgbClr val="0070C0"/>
                </a:solidFill>
                <a:prstDash val="lgDashDot"/>
              </a:ln>
              <a:effectLst/>
            </c:spPr>
            <c:trendlineType val="poly"/>
            <c:order val="6"/>
            <c:dispRSqr val="1"/>
            <c:dispEq val="0"/>
            <c:trendlineLbl>
              <c:layout>
                <c:manualLayout>
                  <c:x val="-0.16520706066379712"/>
                  <c:y val="-0.34026829979585888"/>
                </c:manualLayout>
              </c:layout>
              <c:numFmt formatCode="General" sourceLinked="0"/>
              <c:spPr>
                <a:noFill/>
                <a:ln>
                  <a:solidFill>
                    <a:srgbClr val="002060"/>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trendlineLbl>
          </c:trendline>
          <c:val>
            <c:numRef>
              <c:f>FOCUS!$E$2:$E$144</c:f>
              <c:numCache>
                <c:formatCode>0.00</c:formatCode>
                <c:ptCount val="143"/>
                <c:pt idx="0">
                  <c:v>5</c:v>
                </c:pt>
                <c:pt idx="1">
                  <c:v>5</c:v>
                </c:pt>
                <c:pt idx="2">
                  <c:v>5</c:v>
                </c:pt>
                <c:pt idx="3">
                  <c:v>5.01</c:v>
                </c:pt>
                <c:pt idx="4">
                  <c:v>5.01</c:v>
                </c:pt>
                <c:pt idx="5">
                  <c:v>5.01</c:v>
                </c:pt>
                <c:pt idx="6">
                  <c:v>5.05</c:v>
                </c:pt>
                <c:pt idx="7">
                  <c:v>5.0999999999999996</c:v>
                </c:pt>
                <c:pt idx="8">
                  <c:v>5.15</c:v>
                </c:pt>
                <c:pt idx="9">
                  <c:v>5.3</c:v>
                </c:pt>
                <c:pt idx="10">
                  <c:v>5.3</c:v>
                </c:pt>
                <c:pt idx="11">
                  <c:v>5.33</c:v>
                </c:pt>
                <c:pt idx="12">
                  <c:v>5.35</c:v>
                </c:pt>
                <c:pt idx="13">
                  <c:v>5.37</c:v>
                </c:pt>
                <c:pt idx="14">
                  <c:v>5.4</c:v>
                </c:pt>
                <c:pt idx="15">
                  <c:v>5.4</c:v>
                </c:pt>
                <c:pt idx="16">
                  <c:v>5.4</c:v>
                </c:pt>
                <c:pt idx="17">
                  <c:v>5.35</c:v>
                </c:pt>
                <c:pt idx="18">
                  <c:v>5.3</c:v>
                </c:pt>
                <c:pt idx="19">
                  <c:v>5.3</c:v>
                </c:pt>
                <c:pt idx="20">
                  <c:v>5.3</c:v>
                </c:pt>
                <c:pt idx="21">
                  <c:v>5.3</c:v>
                </c:pt>
                <c:pt idx="22">
                  <c:v>5.18</c:v>
                </c:pt>
                <c:pt idx="23">
                  <c:v>5.0999999999999996</c:v>
                </c:pt>
                <c:pt idx="24">
                  <c:v>5.0999999999999996</c:v>
                </c:pt>
                <c:pt idx="25">
                  <c:v>5.04</c:v>
                </c:pt>
                <c:pt idx="26">
                  <c:v>5.05</c:v>
                </c:pt>
                <c:pt idx="27">
                  <c:v>5.05</c:v>
                </c:pt>
                <c:pt idx="28">
                  <c:v>5.09</c:v>
                </c:pt>
                <c:pt idx="29">
                  <c:v>5.0999999999999996</c:v>
                </c:pt>
                <c:pt idx="30">
                  <c:v>5.0999999999999996</c:v>
                </c:pt>
                <c:pt idx="31">
                  <c:v>5.0999999999999996</c:v>
                </c:pt>
                <c:pt idx="32">
                  <c:v>5.0999999999999996</c:v>
                </c:pt>
                <c:pt idx="33">
                  <c:v>5.15</c:v>
                </c:pt>
                <c:pt idx="34">
                  <c:v>5.17</c:v>
                </c:pt>
                <c:pt idx="35">
                  <c:v>5.2</c:v>
                </c:pt>
                <c:pt idx="36">
                  <c:v>5.2</c:v>
                </c:pt>
                <c:pt idx="37">
                  <c:v>5.2</c:v>
                </c:pt>
                <c:pt idx="38">
                  <c:v>5.2</c:v>
                </c:pt>
                <c:pt idx="39">
                  <c:v>5.25</c:v>
                </c:pt>
                <c:pt idx="40">
                  <c:v>5.25</c:v>
                </c:pt>
                <c:pt idx="41">
                  <c:v>5.45</c:v>
                </c:pt>
                <c:pt idx="42">
                  <c:v>5.5</c:v>
                </c:pt>
                <c:pt idx="43">
                  <c:v>5.5</c:v>
                </c:pt>
                <c:pt idx="44">
                  <c:v>5.5</c:v>
                </c:pt>
                <c:pt idx="45">
                  <c:v>5.5</c:v>
                </c:pt>
                <c:pt idx="46">
                  <c:v>5.5</c:v>
                </c:pt>
                <c:pt idx="47">
                  <c:v>5.56</c:v>
                </c:pt>
                <c:pt idx="48">
                  <c:v>5.59</c:v>
                </c:pt>
                <c:pt idx="49">
                  <c:v>5.6</c:v>
                </c:pt>
                <c:pt idx="50">
                  <c:v>5.63</c:v>
                </c:pt>
                <c:pt idx="51">
                  <c:v>5.63</c:v>
                </c:pt>
                <c:pt idx="52">
                  <c:v>5.6</c:v>
                </c:pt>
                <c:pt idx="53">
                  <c:v>5.6</c:v>
                </c:pt>
                <c:pt idx="54">
                  <c:v>5.6</c:v>
                </c:pt>
                <c:pt idx="55">
                  <c:v>5.6</c:v>
                </c:pt>
                <c:pt idx="56">
                  <c:v>5.6</c:v>
                </c:pt>
                <c:pt idx="57">
                  <c:v>5.6</c:v>
                </c:pt>
                <c:pt idx="58">
                  <c:v>5.5</c:v>
                </c:pt>
                <c:pt idx="59">
                  <c:v>5.5</c:v>
                </c:pt>
                <c:pt idx="60">
                  <c:v>5.4</c:v>
                </c:pt>
                <c:pt idx="61">
                  <c:v>5.3</c:v>
                </c:pt>
                <c:pt idx="62">
                  <c:v>5.3</c:v>
                </c:pt>
                <c:pt idx="63">
                  <c:v>5.25</c:v>
                </c:pt>
                <c:pt idx="64">
                  <c:v>5.2</c:v>
                </c:pt>
                <c:pt idx="65">
                  <c:v>5.0999999999999996</c:v>
                </c:pt>
                <c:pt idx="66">
                  <c:v>5</c:v>
                </c:pt>
                <c:pt idx="67">
                  <c:v>5</c:v>
                </c:pt>
                <c:pt idx="68">
                  <c:v>5</c:v>
                </c:pt>
                <c:pt idx="69">
                  <c:v>5.0199999999999996</c:v>
                </c:pt>
                <c:pt idx="70">
                  <c:v>5.05</c:v>
                </c:pt>
                <c:pt idx="71">
                  <c:v>5.03</c:v>
                </c:pt>
                <c:pt idx="72">
                  <c:v>5.05</c:v>
                </c:pt>
                <c:pt idx="73">
                  <c:v>5.01</c:v>
                </c:pt>
                <c:pt idx="74">
                  <c:v>5.0599999999999996</c:v>
                </c:pt>
                <c:pt idx="75">
                  <c:v>5.0999999999999996</c:v>
                </c:pt>
                <c:pt idx="76">
                  <c:v>5.09</c:v>
                </c:pt>
                <c:pt idx="77">
                  <c:v>5.13</c:v>
                </c:pt>
                <c:pt idx="78">
                  <c:v>5.13</c:v>
                </c:pt>
                <c:pt idx="79">
                  <c:v>5.2</c:v>
                </c:pt>
                <c:pt idx="80">
                  <c:v>5.2</c:v>
                </c:pt>
                <c:pt idx="81">
                  <c:v>5.2</c:v>
                </c:pt>
                <c:pt idx="82">
                  <c:v>5.2</c:v>
                </c:pt>
                <c:pt idx="83">
                  <c:v>5.2</c:v>
                </c:pt>
                <c:pt idx="84">
                  <c:v>5.2</c:v>
                </c:pt>
                <c:pt idx="85">
                  <c:v>5.2</c:v>
                </c:pt>
                <c:pt idx="86">
                  <c:v>5.2</c:v>
                </c:pt>
                <c:pt idx="87">
                  <c:v>5.2</c:v>
                </c:pt>
                <c:pt idx="88">
                  <c:v>5.2</c:v>
                </c:pt>
                <c:pt idx="89">
                  <c:v>5.2</c:v>
                </c:pt>
                <c:pt idx="90">
                  <c:v>5.2</c:v>
                </c:pt>
                <c:pt idx="91">
                  <c:v>5.2</c:v>
                </c:pt>
                <c:pt idx="92">
                  <c:v>5.2</c:v>
                </c:pt>
                <c:pt idx="93">
                  <c:v>5.2</c:v>
                </c:pt>
                <c:pt idx="94">
                  <c:v>5.2</c:v>
                </c:pt>
                <c:pt idx="95">
                  <c:v>5.2</c:v>
                </c:pt>
                <c:pt idx="96">
                  <c:v>5.2</c:v>
                </c:pt>
                <c:pt idx="97">
                  <c:v>5.2</c:v>
                </c:pt>
                <c:pt idx="98">
                  <c:v>5.27</c:v>
                </c:pt>
                <c:pt idx="99">
                  <c:v>5.25</c:v>
                </c:pt>
                <c:pt idx="100">
                  <c:v>5.25</c:v>
                </c:pt>
                <c:pt idx="101">
                  <c:v>5.25</c:v>
                </c:pt>
                <c:pt idx="102">
                  <c:v>5.25</c:v>
                </c:pt>
                <c:pt idx="103">
                  <c:v>5.25</c:v>
                </c:pt>
                <c:pt idx="104">
                  <c:v>5.25</c:v>
                </c:pt>
                <c:pt idx="105">
                  <c:v>5.28</c:v>
                </c:pt>
                <c:pt idx="106">
                  <c:v>5.28</c:v>
                </c:pt>
                <c:pt idx="107">
                  <c:v>5.25</c:v>
                </c:pt>
                <c:pt idx="108">
                  <c:v>5.28</c:v>
                </c:pt>
                <c:pt idx="109">
                  <c:v>5.28</c:v>
                </c:pt>
                <c:pt idx="110">
                  <c:v>5.28</c:v>
                </c:pt>
                <c:pt idx="111">
                  <c:v>5.25</c:v>
                </c:pt>
                <c:pt idx="112">
                  <c:v>5.25</c:v>
                </c:pt>
                <c:pt idx="113">
                  <c:v>5.25</c:v>
                </c:pt>
                <c:pt idx="114">
                  <c:v>5.25</c:v>
                </c:pt>
                <c:pt idx="115">
                  <c:v>5.25</c:v>
                </c:pt>
                <c:pt idx="116">
                  <c:v>5.25</c:v>
                </c:pt>
                <c:pt idx="117">
                  <c:v>5.25</c:v>
                </c:pt>
                <c:pt idx="118">
                  <c:v>5.25</c:v>
                </c:pt>
                <c:pt idx="119">
                  <c:v>5.25</c:v>
                </c:pt>
                <c:pt idx="120">
                  <c:v>5.25</c:v>
                </c:pt>
                <c:pt idx="121">
                  <c:v>5.25</c:v>
                </c:pt>
                <c:pt idx="122">
                  <c:v>5.24</c:v>
                </c:pt>
                <c:pt idx="123">
                  <c:v>5.2</c:v>
                </c:pt>
                <c:pt idx="124">
                  <c:v>5.2</c:v>
                </c:pt>
                <c:pt idx="125">
                  <c:v>5.2</c:v>
                </c:pt>
                <c:pt idx="126">
                  <c:v>5.2</c:v>
                </c:pt>
                <c:pt idx="127">
                  <c:v>5.15</c:v>
                </c:pt>
                <c:pt idx="128">
                  <c:v>5.1100000000000003</c:v>
                </c:pt>
                <c:pt idx="129">
                  <c:v>5.0999999999999996</c:v>
                </c:pt>
                <c:pt idx="130">
                  <c:v>5.0999999999999996</c:v>
                </c:pt>
                <c:pt idx="131">
                  <c:v>5</c:v>
                </c:pt>
                <c:pt idx="132">
                  <c:v>5</c:v>
                </c:pt>
                <c:pt idx="133">
                  <c:v>5</c:v>
                </c:pt>
                <c:pt idx="134">
                  <c:v>4.9000000000000004</c:v>
                </c:pt>
                <c:pt idx="135">
                  <c:v>4.93</c:v>
                </c:pt>
                <c:pt idx="136">
                  <c:v>4.95</c:v>
                </c:pt>
                <c:pt idx="137">
                  <c:v>4.9800000000000004</c:v>
                </c:pt>
                <c:pt idx="138">
                  <c:v>4.9800000000000004</c:v>
                </c:pt>
                <c:pt idx="139">
                  <c:v>5</c:v>
                </c:pt>
                <c:pt idx="140">
                  <c:v>4.95</c:v>
                </c:pt>
                <c:pt idx="141">
                  <c:v>4.95</c:v>
                </c:pt>
                <c:pt idx="142">
                  <c:v>4.95</c:v>
                </c:pt>
              </c:numCache>
            </c:numRef>
          </c:val>
          <c:smooth val="0"/>
          <c:extLst>
            <c:ext xmlns:c16="http://schemas.microsoft.com/office/drawing/2014/chart" uri="{C3380CC4-5D6E-409C-BE32-E72D297353CC}">
              <c16:uniqueId val="{00000001-E600-4242-B52C-96EE365FB222}"/>
            </c:ext>
          </c:extLst>
        </c:ser>
        <c:dLbls>
          <c:showLegendKey val="0"/>
          <c:showVal val="0"/>
          <c:showCatName val="0"/>
          <c:showSerName val="0"/>
          <c:showPercent val="0"/>
          <c:showBubbleSize val="0"/>
        </c:dLbls>
        <c:smooth val="0"/>
        <c:axId val="10849599"/>
        <c:axId val="10845439"/>
      </c:lineChart>
      <c:catAx>
        <c:axId val="108495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10845439"/>
        <c:crosses val="autoZero"/>
        <c:auto val="1"/>
        <c:lblAlgn val="ctr"/>
        <c:lblOffset val="100"/>
        <c:noMultiLvlLbl val="0"/>
      </c:catAx>
      <c:valAx>
        <c:axId val="1084543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10849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AA520-AE82-41EC-B5BD-644658DE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8463</Words>
  <Characters>45703</Characters>
  <Application>Microsoft Office Word</Application>
  <DocSecurity>0</DocSecurity>
  <Lines>380</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VERNDL</dc:creator>
  <cp:keywords/>
  <dc:description/>
  <cp:lastModifiedBy>Instituto01</cp:lastModifiedBy>
  <cp:revision>4</cp:revision>
  <dcterms:created xsi:type="dcterms:W3CDTF">2023-10-16T11:53:00Z</dcterms:created>
  <dcterms:modified xsi:type="dcterms:W3CDTF">2023-10-16T12:44:00Z</dcterms:modified>
</cp:coreProperties>
</file>